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6" w:rsidRPr="00E00922" w:rsidRDefault="00802A96" w:rsidP="0080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>результатам проведенно</w:t>
      </w:r>
      <w:r w:rsidR="000E184C">
        <w:rPr>
          <w:b/>
          <w:sz w:val="28"/>
          <w:szCs w:val="28"/>
        </w:rPr>
        <w:t>й предварительной оценки</w:t>
      </w:r>
      <w:r w:rsidRPr="00E00922">
        <w:rPr>
          <w:b/>
          <w:sz w:val="28"/>
          <w:szCs w:val="28"/>
        </w:rPr>
        <w:t xml:space="preserve">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казенным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«Архив Емельяновского района»  </w:t>
      </w:r>
      <w:r w:rsidRPr="00E00922">
        <w:rPr>
          <w:b/>
          <w:sz w:val="28"/>
          <w:szCs w:val="28"/>
        </w:rPr>
        <w:t xml:space="preserve">за </w:t>
      </w:r>
      <w:r w:rsidR="00316D44">
        <w:rPr>
          <w:b/>
          <w:sz w:val="28"/>
          <w:szCs w:val="28"/>
        </w:rPr>
        <w:t>202</w:t>
      </w:r>
      <w:r w:rsidR="00FB464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0E184C">
        <w:rPr>
          <w:b/>
          <w:sz w:val="28"/>
          <w:szCs w:val="28"/>
        </w:rPr>
        <w:t>декабря</w:t>
      </w:r>
      <w:r w:rsidRPr="00E00922">
        <w:rPr>
          <w:b/>
          <w:sz w:val="28"/>
          <w:szCs w:val="28"/>
        </w:rPr>
        <w:t xml:space="preserve"> </w:t>
      </w:r>
      <w:r w:rsidR="00CE7D67">
        <w:rPr>
          <w:b/>
          <w:sz w:val="28"/>
          <w:szCs w:val="28"/>
        </w:rPr>
        <w:t>202</w:t>
      </w:r>
      <w:r w:rsidR="00FB464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</w:t>
      </w:r>
    </w:p>
    <w:p w:rsidR="00802A96" w:rsidRDefault="00802A96" w:rsidP="009E1A02">
      <w:pPr>
        <w:ind w:firstLine="709"/>
        <w:jc w:val="center"/>
      </w:pPr>
    </w:p>
    <w:p w:rsidR="00802A96" w:rsidRPr="00BA3A58" w:rsidRDefault="00802A96" w:rsidP="009E1A02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</w:t>
      </w:r>
      <w:r w:rsidRPr="00BA3A58">
        <w:rPr>
          <w:sz w:val="26"/>
          <w:szCs w:val="26"/>
        </w:rPr>
        <w:t xml:space="preserve">муниципального казенного учреждения «Архив Емельяновского района» </w:t>
      </w:r>
      <w:r>
        <w:rPr>
          <w:sz w:val="26"/>
          <w:szCs w:val="26"/>
        </w:rPr>
        <w:t>(далее –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 xml:space="preserve">») было сформировано муниципальное задание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BA3A58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FB464A">
        <w:rPr>
          <w:sz w:val="26"/>
          <w:szCs w:val="26"/>
        </w:rPr>
        <w:t>4</w:t>
      </w:r>
      <w:r w:rsidRPr="00BA3A58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FB464A">
        <w:rPr>
          <w:sz w:val="26"/>
          <w:szCs w:val="26"/>
        </w:rPr>
        <w:t>5</w:t>
      </w:r>
      <w:proofErr w:type="gramEnd"/>
      <w:r w:rsidRPr="00BA3A58">
        <w:rPr>
          <w:sz w:val="26"/>
          <w:szCs w:val="26"/>
        </w:rPr>
        <w:t xml:space="preserve"> гг.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BA3A58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FB464A">
        <w:rPr>
          <w:sz w:val="26"/>
          <w:szCs w:val="26"/>
        </w:rPr>
        <w:t>4</w:t>
      </w:r>
      <w:r w:rsidRPr="0032007A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FB464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</w:t>
      </w:r>
      <w:r w:rsidRPr="0032007A">
        <w:rPr>
          <w:sz w:val="26"/>
          <w:szCs w:val="26"/>
        </w:rPr>
        <w:t xml:space="preserve">но </w:t>
      </w:r>
      <w:r>
        <w:rPr>
          <w:sz w:val="26"/>
          <w:szCs w:val="26"/>
        </w:rPr>
        <w:t>постановлением администрации района</w:t>
      </w:r>
      <w:r w:rsidRPr="0032007A">
        <w:rPr>
          <w:sz w:val="26"/>
          <w:szCs w:val="26"/>
        </w:rPr>
        <w:t xml:space="preserve"> от </w:t>
      </w:r>
      <w:r w:rsidR="00FB464A">
        <w:rPr>
          <w:sz w:val="26"/>
          <w:szCs w:val="26"/>
        </w:rPr>
        <w:t>09.01</w:t>
      </w:r>
      <w:r w:rsidRPr="0032007A">
        <w:rPr>
          <w:sz w:val="26"/>
          <w:szCs w:val="26"/>
        </w:rPr>
        <w:t>.20</w:t>
      </w:r>
      <w:r w:rsidR="00CE7D67">
        <w:rPr>
          <w:sz w:val="26"/>
          <w:szCs w:val="26"/>
        </w:rPr>
        <w:t>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FB464A">
        <w:rPr>
          <w:sz w:val="26"/>
          <w:szCs w:val="26"/>
        </w:rPr>
        <w:t>3</w:t>
      </w:r>
      <w:r w:rsidR="00CA11E5">
        <w:rPr>
          <w:sz w:val="26"/>
          <w:szCs w:val="26"/>
        </w:rPr>
        <w:t xml:space="preserve">. </w:t>
      </w:r>
      <w:r w:rsidR="001A39A8">
        <w:rPr>
          <w:sz w:val="26"/>
          <w:szCs w:val="26"/>
        </w:rPr>
        <w:t xml:space="preserve">Муниципальное задание </w:t>
      </w:r>
      <w:r w:rsidRPr="0032007A">
        <w:rPr>
          <w:sz w:val="26"/>
          <w:szCs w:val="26"/>
        </w:rPr>
        <w:t xml:space="preserve">состоит из 3-х частей. Первая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CA11E5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 разделов и </w:t>
      </w:r>
      <w:r w:rsidRPr="0032007A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об оказываемых услугах: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 w:rsidR="001A39A8"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>Показателей</w:t>
      </w:r>
      <w:r w:rsidR="00A635A6">
        <w:rPr>
          <w:sz w:val="26"/>
          <w:szCs w:val="26"/>
        </w:rPr>
        <w:t xml:space="preserve">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</w:t>
      </w:r>
      <w:r w:rsidR="001A39A8">
        <w:rPr>
          <w:sz w:val="26"/>
          <w:szCs w:val="26"/>
        </w:rPr>
        <w:t>к</w:t>
      </w:r>
      <w:r w:rsidR="001A39A8" w:rsidRPr="001A39A8">
        <w:rPr>
          <w:sz w:val="26"/>
          <w:szCs w:val="26"/>
        </w:rPr>
        <w:t xml:space="preserve">оличество </w:t>
      </w:r>
      <w:r w:rsidR="00CA11E5">
        <w:rPr>
          <w:sz w:val="26"/>
          <w:szCs w:val="26"/>
        </w:rPr>
        <w:t>посещений читального зала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0E184C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единиц</w:t>
      </w:r>
      <w:r w:rsidR="00CA11E5">
        <w:rPr>
          <w:sz w:val="26"/>
          <w:szCs w:val="26"/>
        </w:rPr>
        <w:t xml:space="preserve"> в год</w:t>
      </w:r>
      <w:r w:rsidRPr="0032007A">
        <w:rPr>
          <w:sz w:val="26"/>
          <w:szCs w:val="26"/>
        </w:rPr>
        <w:t>.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 xml:space="preserve">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 w:rsidR="00CA11E5"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0E184C">
        <w:rPr>
          <w:sz w:val="26"/>
          <w:szCs w:val="26"/>
        </w:rPr>
        <w:t>1210</w:t>
      </w:r>
      <w:r w:rsidR="00CA11E5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единиц.</w:t>
      </w:r>
    </w:p>
    <w:p w:rsidR="00CA11E5" w:rsidRDefault="00CA11E5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Информационное обеспечение на основе документов Архивного фонда Российской Федерации и других архивных документов</w:t>
      </w:r>
      <w:r>
        <w:rPr>
          <w:sz w:val="26"/>
          <w:szCs w:val="26"/>
        </w:rPr>
        <w:t xml:space="preserve">». </w:t>
      </w:r>
      <w:r w:rsidRPr="0032007A">
        <w:rPr>
          <w:sz w:val="26"/>
          <w:szCs w:val="26"/>
        </w:rPr>
        <w:t>Показател</w:t>
      </w:r>
      <w:r>
        <w:rPr>
          <w:sz w:val="26"/>
          <w:szCs w:val="26"/>
        </w:rPr>
        <w:t>ями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</w:t>
      </w:r>
      <w:r w:rsidRPr="0032007A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A11E5">
        <w:rPr>
          <w:sz w:val="26"/>
          <w:szCs w:val="26"/>
        </w:rPr>
        <w:t>оля исполненных запросов от числа поступивших в течение года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CA11E5">
        <w:rPr>
          <w:sz w:val="26"/>
          <w:szCs w:val="26"/>
        </w:rPr>
        <w:t>оля запросов, исполненных в нормативные сроки</w:t>
      </w:r>
      <w:r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t xml:space="preserve">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FC32B2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A635A6" w:rsidRDefault="00A635A6" w:rsidP="00CA11E5">
      <w:pPr>
        <w:pStyle w:val="a3"/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0E184C">
        <w:rPr>
          <w:sz w:val="26"/>
          <w:szCs w:val="26"/>
        </w:rPr>
        <w:t>1270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A85801">
        <w:rPr>
          <w:sz w:val="26"/>
          <w:szCs w:val="26"/>
        </w:rPr>
        <w:t>четырех</w:t>
      </w:r>
      <w:r>
        <w:rPr>
          <w:sz w:val="26"/>
          <w:szCs w:val="26"/>
        </w:rPr>
        <w:t xml:space="preserve"> разделов и </w:t>
      </w:r>
      <w:r w:rsidRPr="00A82FD7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 выполняемых работах: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A85801" w:rsidRPr="00A85801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4862CA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 xml:space="preserve">оличество дел (документов), сведения о которых включены в </w:t>
      </w:r>
      <w:r w:rsidR="0069340D" w:rsidRPr="0069340D">
        <w:rPr>
          <w:sz w:val="26"/>
          <w:szCs w:val="26"/>
        </w:rPr>
        <w:lastRenderedPageBreak/>
        <w:t>традиционные и электронные справочно-поисковые средства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FC32B2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г. составляет </w:t>
      </w:r>
      <w:r w:rsidR="000E184C">
        <w:rPr>
          <w:sz w:val="26"/>
          <w:szCs w:val="26"/>
        </w:rPr>
        <w:t>780</w:t>
      </w:r>
      <w:r w:rsidR="0069340D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Комплектование архивными документами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>оличество дел (документов), принятых на хранение</w:t>
      </w:r>
      <w:r w:rsidRPr="004F0C2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0E184C">
        <w:rPr>
          <w:sz w:val="26"/>
          <w:szCs w:val="26"/>
        </w:rPr>
        <w:t>469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Обеспечение сохранности и учет архивных документов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о</w:t>
      </w:r>
      <w:r w:rsidR="0069340D" w:rsidRPr="0069340D">
        <w:rPr>
          <w:sz w:val="26"/>
          <w:szCs w:val="26"/>
        </w:rPr>
        <w:t>бъем хранимых дел (документов)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0E184C">
        <w:rPr>
          <w:sz w:val="26"/>
          <w:szCs w:val="26"/>
        </w:rPr>
        <w:t>31674</w:t>
      </w:r>
      <w:r w:rsidRPr="004F0C2A">
        <w:rPr>
          <w:sz w:val="26"/>
          <w:szCs w:val="26"/>
        </w:rPr>
        <w:t xml:space="preserve"> единиц. </w:t>
      </w:r>
    </w:p>
    <w:p w:rsidR="0069340D" w:rsidRPr="0069340D" w:rsidRDefault="0069340D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340D">
        <w:rPr>
          <w:sz w:val="26"/>
          <w:szCs w:val="26"/>
        </w:rPr>
        <w:t>Консультационная и методическая поддержка по вопросам архивной деятельности и документационного обеспечения управления</w:t>
      </w:r>
      <w:r>
        <w:rPr>
          <w:sz w:val="26"/>
          <w:szCs w:val="26"/>
        </w:rPr>
        <w:t>». 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методических консультаций, рекомендаций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CE7D67">
        <w:rPr>
          <w:sz w:val="26"/>
          <w:szCs w:val="26"/>
        </w:rPr>
        <w:t>2</w:t>
      </w:r>
      <w:r w:rsidR="000E184C">
        <w:rPr>
          <w:sz w:val="26"/>
          <w:szCs w:val="26"/>
        </w:rPr>
        <w:t>7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C32B2" w:rsidRDefault="00FC32B2" w:rsidP="00FC32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E184C">
        <w:rPr>
          <w:sz w:val="26"/>
          <w:szCs w:val="26"/>
        </w:rPr>
        <w:t xml:space="preserve">ноябре </w:t>
      </w:r>
      <w:r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>
        <w:rPr>
          <w:sz w:val="26"/>
          <w:szCs w:val="26"/>
        </w:rPr>
        <w:t xml:space="preserve"> г. </w:t>
      </w:r>
      <w:r w:rsidR="000E184C">
        <w:rPr>
          <w:sz w:val="26"/>
          <w:szCs w:val="26"/>
        </w:rPr>
        <w:t xml:space="preserve">на основании проведенного мониторинга были внесены </w:t>
      </w:r>
      <w:r>
        <w:rPr>
          <w:sz w:val="26"/>
          <w:szCs w:val="26"/>
        </w:rPr>
        <w:t>изменения в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E184C">
        <w:rPr>
          <w:sz w:val="26"/>
          <w:szCs w:val="26"/>
        </w:rPr>
        <w:t xml:space="preserve">в части корректировки показателей объема оказываемых услуг (выполняемых работ).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0E184C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0E184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0E184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0E184C">
        <w:rPr>
          <w:sz w:val="26"/>
          <w:szCs w:val="26"/>
        </w:rPr>
        <w:t>предварительная оценка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 за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 w:rsidR="0069340D">
        <w:rPr>
          <w:sz w:val="26"/>
          <w:szCs w:val="26"/>
        </w:rPr>
        <w:t xml:space="preserve">01 </w:t>
      </w:r>
      <w:r w:rsidR="000E184C">
        <w:rPr>
          <w:sz w:val="26"/>
          <w:szCs w:val="26"/>
        </w:rPr>
        <w:t>декабря</w:t>
      </w:r>
      <w:r w:rsidR="0069340D">
        <w:rPr>
          <w:sz w:val="26"/>
          <w:szCs w:val="26"/>
        </w:rPr>
        <w:t xml:space="preserve">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69340D">
        <w:rPr>
          <w:sz w:val="26"/>
          <w:szCs w:val="26"/>
        </w:rPr>
        <w:t xml:space="preserve"> г.</w:t>
      </w:r>
      <w:r w:rsidRPr="00A82FD7">
        <w:rPr>
          <w:sz w:val="26"/>
          <w:szCs w:val="26"/>
        </w:rPr>
        <w:t xml:space="preserve"> (Приложение 1). </w:t>
      </w:r>
    </w:p>
    <w:p w:rsidR="000E184C" w:rsidRDefault="000E184C" w:rsidP="000E18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проведенной предварительной оценки установлено, что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за 2023 г. по состоянию на 01 декабря 2023 г. выполнено. </w:t>
      </w:r>
    </w:p>
    <w:p w:rsidR="000E184C" w:rsidRDefault="000E184C" w:rsidP="000E184C">
      <w:pPr>
        <w:jc w:val="both"/>
        <w:rPr>
          <w:sz w:val="26"/>
          <w:szCs w:val="26"/>
        </w:rPr>
      </w:pPr>
    </w:p>
    <w:p w:rsidR="000E184C" w:rsidRDefault="000E184C" w:rsidP="000E184C">
      <w:pPr>
        <w:jc w:val="both"/>
        <w:rPr>
          <w:sz w:val="26"/>
          <w:szCs w:val="26"/>
        </w:rPr>
      </w:pPr>
    </w:p>
    <w:p w:rsidR="000E184C" w:rsidRDefault="000E184C" w:rsidP="000E184C">
      <w:pPr>
        <w:jc w:val="both"/>
        <w:rPr>
          <w:sz w:val="26"/>
          <w:szCs w:val="26"/>
        </w:rPr>
      </w:pPr>
    </w:p>
    <w:p w:rsidR="00CE7D67" w:rsidRDefault="00CE7D67" w:rsidP="00802A96">
      <w:pPr>
        <w:ind w:firstLine="709"/>
        <w:jc w:val="both"/>
        <w:rPr>
          <w:sz w:val="26"/>
          <w:szCs w:val="26"/>
        </w:rPr>
        <w:sectPr w:rsidR="00CE7D67" w:rsidSect="001C4AF1">
          <w:pgSz w:w="11906" w:h="16838"/>
          <w:pgMar w:top="1276" w:right="737" w:bottom="709" w:left="1701" w:header="709" w:footer="709" w:gutter="0"/>
          <w:cols w:space="720"/>
          <w:docGrid w:linePitch="360"/>
        </w:sectPr>
      </w:pPr>
    </w:p>
    <w:p w:rsidR="00CE7D67" w:rsidRDefault="00CE7D67" w:rsidP="00CE7D6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tbl>
      <w:tblPr>
        <w:tblW w:w="18217" w:type="dxa"/>
        <w:tblInd w:w="108" w:type="dxa"/>
        <w:tblLook w:val="04A0"/>
      </w:tblPr>
      <w:tblGrid>
        <w:gridCol w:w="3261"/>
        <w:gridCol w:w="141"/>
        <w:gridCol w:w="284"/>
        <w:gridCol w:w="1984"/>
        <w:gridCol w:w="284"/>
        <w:gridCol w:w="283"/>
        <w:gridCol w:w="150"/>
        <w:gridCol w:w="236"/>
        <w:gridCol w:w="1174"/>
        <w:gridCol w:w="283"/>
        <w:gridCol w:w="180"/>
        <w:gridCol w:w="352"/>
        <w:gridCol w:w="1453"/>
        <w:gridCol w:w="283"/>
        <w:gridCol w:w="142"/>
        <w:gridCol w:w="231"/>
        <w:gridCol w:w="194"/>
        <w:gridCol w:w="1985"/>
        <w:gridCol w:w="283"/>
        <w:gridCol w:w="191"/>
        <w:gridCol w:w="45"/>
        <w:gridCol w:w="191"/>
        <w:gridCol w:w="26"/>
        <w:gridCol w:w="67"/>
        <w:gridCol w:w="2053"/>
        <w:gridCol w:w="45"/>
        <w:gridCol w:w="34"/>
        <w:gridCol w:w="157"/>
        <w:gridCol w:w="93"/>
        <w:gridCol w:w="2132"/>
      </w:tblGrid>
      <w:tr w:rsidR="000E184C" w:rsidRPr="000E184C" w:rsidTr="000E184C">
        <w:trPr>
          <w:gridAfter w:val="5"/>
          <w:wAfter w:w="2461" w:type="dxa"/>
          <w:trHeight w:val="585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казенным учреждением «Архив Емельяновского района» муниципального задания на оказание услуг (выполнение работ) за 2023 г. </w:t>
            </w:r>
          </w:p>
        </w:tc>
      </w:tr>
      <w:tr w:rsidR="000E184C" w:rsidRPr="000E184C" w:rsidTr="000E184C">
        <w:trPr>
          <w:gridAfter w:val="5"/>
          <w:wAfter w:w="2461" w:type="dxa"/>
          <w:trHeight w:val="300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330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услуги:</w:t>
            </w:r>
          </w:p>
        </w:tc>
      </w:tr>
      <w:tr w:rsidR="000E184C" w:rsidRPr="000E184C" w:rsidTr="000E184C">
        <w:trPr>
          <w:gridAfter w:val="2"/>
          <w:wAfter w:w="2225" w:type="dxa"/>
          <w:trHeight w:val="10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31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 w:rsidRPr="000E184C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0E184C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 w:rsidRPr="000E184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E184C">
              <w:rPr>
                <w:color w:val="000000"/>
                <w:sz w:val="22"/>
                <w:szCs w:val="22"/>
              </w:rPr>
              <w:t>)</w:t>
            </w:r>
          </w:p>
        </w:tc>
      </w:tr>
      <w:tr w:rsidR="000E184C" w:rsidRPr="000E184C" w:rsidTr="000E184C">
        <w:trPr>
          <w:gridAfter w:val="5"/>
          <w:wAfter w:w="2461" w:type="dxa"/>
          <w:trHeight w:val="6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К1i = К1фi/ К1плi / </w:t>
            </w:r>
            <w:proofErr w:type="spellStart"/>
            <w:r w:rsidRPr="000E184C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0E184C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184C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29845</wp:posOffset>
                  </wp:positionV>
                  <wp:extent cx="1524000" cy="3714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184C" w:rsidRPr="000E184C" w:rsidRDefault="000E184C" w:rsidP="000E1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533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1.Доля исполненных запросов от числа поступивших в течение года (Процент)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100,00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E184C" w:rsidRPr="000E184C" w:rsidTr="000E184C">
        <w:trPr>
          <w:gridAfter w:val="5"/>
          <w:wAfter w:w="2461" w:type="dxa"/>
          <w:trHeight w:val="363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2. Доля запросов, исполненных в нормативные сроки (Процент)</w:t>
            </w: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100,00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8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2"/>
          <w:wAfter w:w="2225" w:type="dxa"/>
          <w:trHeight w:val="18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345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услуги:</w:t>
            </w:r>
          </w:p>
        </w:tc>
      </w:tr>
      <w:tr w:rsidR="000E184C" w:rsidRPr="000E184C" w:rsidTr="000E184C">
        <w:trPr>
          <w:gridAfter w:val="5"/>
          <w:wAfter w:w="2461" w:type="dxa"/>
          <w:trHeight w:val="27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0E184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E184C">
              <w:rPr>
                <w:color w:val="000000"/>
                <w:sz w:val="22"/>
                <w:szCs w:val="22"/>
              </w:rPr>
              <w:t>)</w:t>
            </w:r>
          </w:p>
        </w:tc>
      </w:tr>
      <w:tr w:rsidR="000E184C" w:rsidRPr="000E184C" w:rsidTr="000E184C">
        <w:trPr>
          <w:gridAfter w:val="5"/>
          <w:wAfter w:w="2461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0E184C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0E184C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8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184C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41910</wp:posOffset>
                  </wp:positionV>
                  <wp:extent cx="1524000" cy="409575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184C" w:rsidRPr="000E184C" w:rsidRDefault="000E184C" w:rsidP="000E1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Количество посещений читального зала (Единица)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5,00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E184C" w:rsidRPr="000E184C" w:rsidTr="000E184C">
        <w:trPr>
          <w:gridAfter w:val="5"/>
          <w:wAfter w:w="2461" w:type="dxa"/>
          <w:trHeight w:val="2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Количество исполненных запросов (Единиц в год)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1210,00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1162,00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96,03</w:t>
            </w:r>
          </w:p>
        </w:tc>
      </w:tr>
      <w:tr w:rsidR="000E184C" w:rsidRPr="000E184C" w:rsidTr="000E184C">
        <w:trPr>
          <w:gridAfter w:val="5"/>
          <w:wAfter w:w="2461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Количество исполненных запросов (Единица)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1270,00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1270,00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E184C" w:rsidRPr="000E184C" w:rsidTr="000E184C">
        <w:trPr>
          <w:gridAfter w:val="1"/>
          <w:wAfter w:w="213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Default="000E184C" w:rsidP="000E184C">
            <w:pPr>
              <w:jc w:val="center"/>
              <w:rPr>
                <w:color w:val="000000"/>
              </w:rPr>
            </w:pPr>
          </w:p>
          <w:p w:rsidR="000E184C" w:rsidRDefault="000E184C" w:rsidP="000E184C">
            <w:pPr>
              <w:jc w:val="center"/>
              <w:rPr>
                <w:color w:val="000000"/>
              </w:rPr>
            </w:pPr>
          </w:p>
          <w:p w:rsidR="000E184C" w:rsidRDefault="000E184C" w:rsidP="000E184C">
            <w:pPr>
              <w:jc w:val="center"/>
              <w:rPr>
                <w:color w:val="000000"/>
              </w:rPr>
            </w:pPr>
          </w:p>
          <w:p w:rsidR="000E184C" w:rsidRDefault="000E184C" w:rsidP="000E184C">
            <w:pPr>
              <w:jc w:val="center"/>
              <w:rPr>
                <w:color w:val="000000"/>
              </w:rPr>
            </w:pPr>
          </w:p>
          <w:p w:rsidR="000E184C" w:rsidRPr="000E184C" w:rsidRDefault="000E184C" w:rsidP="000E184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1"/>
          <w:wAfter w:w="213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300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0E184C" w:rsidRPr="000E184C" w:rsidTr="000E184C">
        <w:trPr>
          <w:gridAfter w:val="5"/>
          <w:wAfter w:w="2461" w:type="dxa"/>
          <w:trHeight w:val="91"/>
        </w:trPr>
        <w:tc>
          <w:tcPr>
            <w:tcW w:w="6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5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0E184C" w:rsidRPr="000E184C" w:rsidTr="000E184C">
        <w:trPr>
          <w:gridAfter w:val="5"/>
          <w:wAfter w:w="2461" w:type="dxa"/>
          <w:trHeight w:val="300"/>
        </w:trPr>
        <w:tc>
          <w:tcPr>
            <w:tcW w:w="6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0E184C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0E184C">
              <w:rPr>
                <w:color w:val="000000"/>
                <w:sz w:val="22"/>
                <w:szCs w:val="22"/>
              </w:rPr>
              <w:t xml:space="preserve"> + К2) /2, %</w:t>
            </w:r>
          </w:p>
        </w:tc>
        <w:tc>
          <w:tcPr>
            <w:tcW w:w="52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84C" w:rsidRPr="000E184C" w:rsidTr="000E184C">
        <w:trPr>
          <w:gridAfter w:val="5"/>
          <w:wAfter w:w="2461" w:type="dxa"/>
          <w:trHeight w:val="149"/>
        </w:trPr>
        <w:tc>
          <w:tcPr>
            <w:tcW w:w="6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  в полном объеме</w:t>
            </w:r>
          </w:p>
        </w:tc>
      </w:tr>
      <w:tr w:rsidR="000E184C" w:rsidRPr="000E184C" w:rsidTr="000E184C">
        <w:trPr>
          <w:gridAfter w:val="5"/>
          <w:wAfter w:w="2461" w:type="dxa"/>
          <w:trHeight w:val="1319"/>
        </w:trPr>
        <w:tc>
          <w:tcPr>
            <w:tcW w:w="6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52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</w:t>
            </w:r>
          </w:p>
        </w:tc>
      </w:tr>
      <w:tr w:rsidR="000E184C" w:rsidRPr="000E184C" w:rsidTr="000E184C">
        <w:trPr>
          <w:gridAfter w:val="5"/>
          <w:wAfter w:w="2461" w:type="dxa"/>
          <w:trHeight w:val="70"/>
        </w:trPr>
        <w:tc>
          <w:tcPr>
            <w:tcW w:w="6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52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  в полном объеме</w:t>
            </w:r>
          </w:p>
        </w:tc>
      </w:tr>
      <w:tr w:rsidR="000E184C" w:rsidRPr="000E184C" w:rsidTr="000E184C">
        <w:trPr>
          <w:trHeight w:val="315"/>
        </w:trPr>
        <w:tc>
          <w:tcPr>
            <w:tcW w:w="6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trHeight w:val="315"/>
        </w:trPr>
        <w:tc>
          <w:tcPr>
            <w:tcW w:w="6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300"/>
        </w:trPr>
        <w:tc>
          <w:tcPr>
            <w:tcW w:w="157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0E184C" w:rsidRPr="000E184C" w:rsidTr="000E184C">
        <w:trPr>
          <w:gridAfter w:val="5"/>
          <w:wAfter w:w="2461" w:type="dxa"/>
          <w:trHeight w:val="16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E184C" w:rsidRPr="000E184C" w:rsidRDefault="000E184C" w:rsidP="000E18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1535430</wp:posOffset>
                  </wp:positionV>
                  <wp:extent cx="1200150" cy="3238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23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0E184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E184C">
              <w:rPr>
                <w:color w:val="000000"/>
                <w:sz w:val="22"/>
                <w:szCs w:val="22"/>
              </w:rPr>
              <w:t>)</w:t>
            </w:r>
          </w:p>
        </w:tc>
      </w:tr>
      <w:tr w:rsidR="000E184C" w:rsidRPr="000E184C" w:rsidTr="000E184C">
        <w:trPr>
          <w:gridAfter w:val="5"/>
          <w:wAfter w:w="2461" w:type="dxa"/>
          <w:trHeight w:val="35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both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0E184C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0E184C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84C" w:rsidRPr="000E184C" w:rsidTr="000E184C">
        <w:trPr>
          <w:gridAfter w:val="5"/>
          <w:wAfter w:w="2461" w:type="dxa"/>
          <w:trHeight w:val="99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Количество дел (документов), сведения о которых включены в традиционные и электронные справочно-поисковые средства (Единица)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780,00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E184C" w:rsidRPr="000E184C" w:rsidTr="000E184C">
        <w:trPr>
          <w:gridAfter w:val="5"/>
          <w:wAfter w:w="2461" w:type="dxa"/>
          <w:trHeight w:val="4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lastRenderedPageBreak/>
              <w:t>2. Комплектование архивными документами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Количество дел (документов), принятых на хранение (Единица)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469,00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469,00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E184C" w:rsidRPr="000E184C" w:rsidTr="000E184C">
        <w:trPr>
          <w:gridAfter w:val="5"/>
          <w:wAfter w:w="2461" w:type="dxa"/>
          <w:trHeight w:val="207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Объем хранимых дел (документов) (Единица)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31674,00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31674,00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E184C" w:rsidRPr="000E184C" w:rsidTr="000E184C">
        <w:trPr>
          <w:gridAfter w:val="5"/>
          <w:wAfter w:w="2461" w:type="dxa"/>
          <w:trHeight w:val="838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Количество методических консультаций, рекомендаций (Единица)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  <w:r w:rsidRPr="000E184C">
              <w:rPr>
                <w:color w:val="000000"/>
              </w:rPr>
              <w:t>27,00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92,59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92,59</w:t>
            </w:r>
          </w:p>
        </w:tc>
      </w:tr>
      <w:tr w:rsidR="000E184C" w:rsidRPr="000E184C" w:rsidTr="000E184C">
        <w:trPr>
          <w:gridAfter w:val="4"/>
          <w:wAfter w:w="2416" w:type="dxa"/>
          <w:trHeight w:val="26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184C" w:rsidRPr="000E184C" w:rsidTr="000E184C">
        <w:trPr>
          <w:gridAfter w:val="5"/>
          <w:wAfter w:w="2461" w:type="dxa"/>
          <w:trHeight w:val="300"/>
        </w:trPr>
        <w:tc>
          <w:tcPr>
            <w:tcW w:w="157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0E184C" w:rsidRPr="000E184C" w:rsidTr="000E184C">
        <w:trPr>
          <w:gridAfter w:val="5"/>
          <w:wAfter w:w="2461" w:type="dxa"/>
          <w:trHeight w:val="410"/>
        </w:trPr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0E184C" w:rsidRPr="000E184C" w:rsidTr="000E184C">
        <w:trPr>
          <w:gridAfter w:val="5"/>
          <w:wAfter w:w="2461" w:type="dxa"/>
          <w:trHeight w:val="300"/>
        </w:trPr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ОЦ=К</w:t>
            </w:r>
            <w:proofErr w:type="gramStart"/>
            <w:r w:rsidRPr="000E184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E184C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84C" w:rsidRPr="000E184C" w:rsidTr="000E184C">
        <w:trPr>
          <w:gridAfter w:val="5"/>
          <w:wAfter w:w="2461" w:type="dxa"/>
          <w:trHeight w:val="345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 в полном объеме</w:t>
            </w:r>
          </w:p>
        </w:tc>
      </w:tr>
      <w:tr w:rsidR="000E184C" w:rsidRPr="000E184C" w:rsidTr="000E184C">
        <w:trPr>
          <w:gridAfter w:val="5"/>
          <w:wAfter w:w="2461" w:type="dxa"/>
          <w:trHeight w:val="7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0E184C" w:rsidRPr="000E184C" w:rsidTr="000E184C">
        <w:trPr>
          <w:gridAfter w:val="5"/>
          <w:wAfter w:w="2461" w:type="dxa"/>
          <w:trHeight w:val="7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  <w:tr w:rsidR="000E184C" w:rsidRPr="000E184C" w:rsidTr="000E184C">
        <w:trPr>
          <w:gridAfter w:val="5"/>
          <w:wAfter w:w="2461" w:type="dxa"/>
          <w:trHeight w:val="7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>92,59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84C" w:rsidRPr="000E184C" w:rsidRDefault="000E184C" w:rsidP="000E184C">
            <w:pPr>
              <w:jc w:val="center"/>
              <w:rPr>
                <w:color w:val="000000"/>
                <w:sz w:val="22"/>
                <w:szCs w:val="22"/>
              </w:rPr>
            </w:pPr>
            <w:r w:rsidRPr="000E184C"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</w:tbl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sectPr w:rsidR="00CE7D67" w:rsidSect="00CE7D67">
      <w:pgSz w:w="16838" w:h="11906" w:orient="landscape"/>
      <w:pgMar w:top="426" w:right="1276" w:bottom="737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32E4"/>
    <w:multiLevelType w:val="hybridMultilevel"/>
    <w:tmpl w:val="6082DA5E"/>
    <w:lvl w:ilvl="0" w:tplc="D3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0653C"/>
    <w:multiLevelType w:val="hybridMultilevel"/>
    <w:tmpl w:val="5FA4991A"/>
    <w:lvl w:ilvl="0" w:tplc="FBA6A1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A96"/>
    <w:rsid w:val="000E184C"/>
    <w:rsid w:val="0018513E"/>
    <w:rsid w:val="001A09F4"/>
    <w:rsid w:val="001A39A8"/>
    <w:rsid w:val="00282B76"/>
    <w:rsid w:val="00316D44"/>
    <w:rsid w:val="00410DC8"/>
    <w:rsid w:val="00423B84"/>
    <w:rsid w:val="00473DFF"/>
    <w:rsid w:val="004862CA"/>
    <w:rsid w:val="005D5874"/>
    <w:rsid w:val="00623306"/>
    <w:rsid w:val="0069340D"/>
    <w:rsid w:val="00726730"/>
    <w:rsid w:val="007844CF"/>
    <w:rsid w:val="00802A96"/>
    <w:rsid w:val="00812757"/>
    <w:rsid w:val="00853652"/>
    <w:rsid w:val="0090220C"/>
    <w:rsid w:val="00916C54"/>
    <w:rsid w:val="009A5796"/>
    <w:rsid w:val="009E1A02"/>
    <w:rsid w:val="00A169A4"/>
    <w:rsid w:val="00A635A6"/>
    <w:rsid w:val="00A85801"/>
    <w:rsid w:val="00C27D90"/>
    <w:rsid w:val="00CA11E5"/>
    <w:rsid w:val="00CE7D67"/>
    <w:rsid w:val="00FB464A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15</cp:revision>
  <dcterms:created xsi:type="dcterms:W3CDTF">2017-07-21T06:15:00Z</dcterms:created>
  <dcterms:modified xsi:type="dcterms:W3CDTF">2023-12-16T03:32:00Z</dcterms:modified>
</cp:coreProperties>
</file>