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CB" w:rsidRPr="009B2D81" w:rsidRDefault="00D54ECB" w:rsidP="00D5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DF6E46">
        <w:rPr>
          <w:b/>
          <w:sz w:val="28"/>
          <w:szCs w:val="28"/>
        </w:rPr>
        <w:t>записка по результатам проведенного мониторинга выполнения муниципального задания муниципальн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DF6E46">
        <w:rPr>
          <w:b/>
          <w:sz w:val="28"/>
          <w:szCs w:val="28"/>
        </w:rPr>
        <w:t xml:space="preserve"> дополнительного образования «Детская школа искусств» </w:t>
      </w:r>
      <w:proofErr w:type="spellStart"/>
      <w:r w:rsidRPr="00DF6E46">
        <w:rPr>
          <w:b/>
          <w:sz w:val="28"/>
          <w:szCs w:val="28"/>
        </w:rPr>
        <w:t>пгт</w:t>
      </w:r>
      <w:proofErr w:type="spellEnd"/>
      <w:r w:rsidRPr="00DF6E46">
        <w:rPr>
          <w:b/>
          <w:sz w:val="28"/>
          <w:szCs w:val="28"/>
        </w:rPr>
        <w:t xml:space="preserve">. Емельяново за </w:t>
      </w:r>
      <w:r w:rsidR="0069291B">
        <w:rPr>
          <w:b/>
          <w:sz w:val="28"/>
          <w:szCs w:val="28"/>
        </w:rPr>
        <w:t>2024</w:t>
      </w:r>
      <w:r w:rsidRPr="00DF6E46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DF6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DF6E46">
        <w:rPr>
          <w:b/>
          <w:sz w:val="28"/>
          <w:szCs w:val="28"/>
        </w:rPr>
        <w:t xml:space="preserve"> </w:t>
      </w:r>
      <w:r w:rsidR="0069291B">
        <w:rPr>
          <w:b/>
          <w:sz w:val="28"/>
          <w:szCs w:val="28"/>
        </w:rPr>
        <w:t>2024</w:t>
      </w:r>
      <w:r w:rsidRPr="00DF6E46">
        <w:rPr>
          <w:b/>
          <w:sz w:val="28"/>
          <w:szCs w:val="28"/>
        </w:rPr>
        <w:t xml:space="preserve"> г.</w:t>
      </w:r>
      <w:r w:rsidRPr="009B2D81">
        <w:rPr>
          <w:b/>
          <w:sz w:val="28"/>
          <w:szCs w:val="28"/>
        </w:rPr>
        <w:t xml:space="preserve"> </w:t>
      </w:r>
    </w:p>
    <w:p w:rsidR="00D54ECB" w:rsidRDefault="00D54ECB" w:rsidP="00D54ECB">
      <w:pPr>
        <w:jc w:val="center"/>
      </w:pPr>
    </w:p>
    <w:p w:rsidR="00D54ECB" w:rsidRPr="00DF6E46" w:rsidRDefault="00D54ECB" w:rsidP="00D54ECB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F6E46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F6E46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дополнительного образования «Детская школа искусств» </w:t>
      </w:r>
      <w:proofErr w:type="spellStart"/>
      <w:r w:rsidRPr="00DF6E46">
        <w:rPr>
          <w:sz w:val="26"/>
          <w:szCs w:val="26"/>
        </w:rPr>
        <w:t>пгт</w:t>
      </w:r>
      <w:proofErr w:type="spellEnd"/>
      <w:r w:rsidRPr="00DF6E46"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 (далее – МБУ ДО «Детская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</w:t>
      </w:r>
      <w:r>
        <w:rPr>
          <w:sz w:val="26"/>
          <w:szCs w:val="26"/>
        </w:rPr>
        <w:t>)</w:t>
      </w:r>
      <w:r w:rsidRPr="00DF6E46">
        <w:rPr>
          <w:sz w:val="26"/>
          <w:szCs w:val="26"/>
        </w:rPr>
        <w:t xml:space="preserve"> было сформировано муниципальное задание на </w:t>
      </w:r>
      <w:r w:rsidR="0069291B">
        <w:rPr>
          <w:sz w:val="26"/>
          <w:szCs w:val="26"/>
        </w:rPr>
        <w:t>2024</w:t>
      </w:r>
      <w:r w:rsidRPr="00DF6E46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69291B">
        <w:rPr>
          <w:sz w:val="26"/>
          <w:szCs w:val="26"/>
        </w:rPr>
        <w:t>5</w:t>
      </w:r>
      <w:r w:rsidR="00E751DE">
        <w:rPr>
          <w:sz w:val="26"/>
          <w:szCs w:val="26"/>
        </w:rPr>
        <w:t>-</w:t>
      </w:r>
      <w:r w:rsidR="00B854A3">
        <w:rPr>
          <w:sz w:val="26"/>
          <w:szCs w:val="26"/>
        </w:rPr>
        <w:t>202</w:t>
      </w:r>
      <w:r w:rsidR="0069291B">
        <w:rPr>
          <w:sz w:val="26"/>
          <w:szCs w:val="26"/>
        </w:rPr>
        <w:t>6</w:t>
      </w:r>
      <w:r w:rsidRPr="00DF6E46">
        <w:rPr>
          <w:sz w:val="26"/>
          <w:szCs w:val="26"/>
        </w:rPr>
        <w:t xml:space="preserve"> гг. </w:t>
      </w:r>
      <w:proofErr w:type="gramEnd"/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 xml:space="preserve">на </w:t>
      </w:r>
      <w:r w:rsidR="0069291B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69291B">
        <w:rPr>
          <w:sz w:val="26"/>
          <w:szCs w:val="26"/>
        </w:rPr>
        <w:t>5</w:t>
      </w:r>
      <w:r w:rsidR="00B854A3">
        <w:rPr>
          <w:sz w:val="26"/>
          <w:szCs w:val="26"/>
        </w:rPr>
        <w:t>-202</w:t>
      </w:r>
      <w:r w:rsidR="0069291B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0C1C1E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69291B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 w:rsidR="004D2FDD">
        <w:rPr>
          <w:sz w:val="26"/>
          <w:szCs w:val="26"/>
        </w:rPr>
        <w:t>3</w:t>
      </w:r>
      <w:r w:rsidRPr="0032007A">
        <w:rPr>
          <w:sz w:val="26"/>
          <w:szCs w:val="26"/>
        </w:rPr>
        <w:t>, состоит из 3-х частей. Первая часть муниципального задания содержит с</w:t>
      </w:r>
      <w:r>
        <w:rPr>
          <w:sz w:val="26"/>
          <w:szCs w:val="26"/>
        </w:rPr>
        <w:t xml:space="preserve">ведения об оказываемых услугах и состоит из четырех разделов.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оказывает четыре муниципальные услуги: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E0F65">
        <w:rPr>
          <w:sz w:val="26"/>
          <w:szCs w:val="26"/>
        </w:rPr>
        <w:t xml:space="preserve">«Реализация дополнительных общеразвивающих программ». 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 </w:t>
      </w:r>
      <w:r>
        <w:rPr>
          <w:sz w:val="26"/>
          <w:szCs w:val="26"/>
        </w:rPr>
        <w:t xml:space="preserve">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человеко-часов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69291B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 w:rsidR="00E751DE">
        <w:rPr>
          <w:sz w:val="26"/>
          <w:szCs w:val="26"/>
        </w:rPr>
        <w:t xml:space="preserve"> </w:t>
      </w:r>
      <w:r w:rsidR="0069291B">
        <w:rPr>
          <w:sz w:val="26"/>
          <w:szCs w:val="26"/>
        </w:rPr>
        <w:t>1257</w:t>
      </w:r>
      <w:r w:rsidR="004847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человеко-часов.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фортепиано)».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Pr="00CD52E7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69291B">
        <w:rPr>
          <w:sz w:val="26"/>
          <w:szCs w:val="26"/>
        </w:rPr>
        <w:t>2024</w:t>
      </w:r>
      <w:r w:rsidRPr="00CD52E7">
        <w:rPr>
          <w:sz w:val="26"/>
          <w:szCs w:val="26"/>
        </w:rPr>
        <w:t xml:space="preserve"> г. составляет</w:t>
      </w:r>
      <w:r w:rsidR="00B854A3">
        <w:rPr>
          <w:sz w:val="26"/>
          <w:szCs w:val="26"/>
        </w:rPr>
        <w:t xml:space="preserve"> </w:t>
      </w:r>
      <w:r w:rsidR="0069291B">
        <w:rPr>
          <w:sz w:val="26"/>
          <w:szCs w:val="26"/>
        </w:rPr>
        <w:t>4502</w:t>
      </w:r>
      <w:r w:rsidRPr="00CD52E7">
        <w:rPr>
          <w:sz w:val="26"/>
          <w:szCs w:val="26"/>
        </w:rPr>
        <w:t xml:space="preserve"> человеко-час</w:t>
      </w:r>
      <w:r w:rsidR="004847C4">
        <w:rPr>
          <w:sz w:val="26"/>
          <w:szCs w:val="26"/>
        </w:rPr>
        <w:t>ов</w:t>
      </w:r>
      <w:r w:rsidRPr="00CD52E7">
        <w:rPr>
          <w:sz w:val="26"/>
          <w:szCs w:val="26"/>
        </w:rPr>
        <w:t xml:space="preserve">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музыкальный фольклор)».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69291B">
        <w:rPr>
          <w:sz w:val="26"/>
          <w:szCs w:val="26"/>
        </w:rPr>
        <w:t>2024</w:t>
      </w:r>
      <w:r w:rsidRPr="00CD52E7">
        <w:rPr>
          <w:sz w:val="26"/>
          <w:szCs w:val="26"/>
        </w:rPr>
        <w:t xml:space="preserve"> г. составляет </w:t>
      </w:r>
      <w:r w:rsidR="0069291B">
        <w:rPr>
          <w:sz w:val="26"/>
          <w:szCs w:val="26"/>
        </w:rPr>
        <w:t>3900</w:t>
      </w:r>
      <w:r w:rsidRPr="00CD52E7">
        <w:rPr>
          <w:sz w:val="26"/>
          <w:szCs w:val="26"/>
        </w:rPr>
        <w:t xml:space="preserve"> человеко-час</w:t>
      </w:r>
      <w:r w:rsidR="00E71FA2">
        <w:rPr>
          <w:sz w:val="26"/>
          <w:szCs w:val="26"/>
        </w:rPr>
        <w:t>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народные инструменты)».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69291B">
        <w:rPr>
          <w:sz w:val="26"/>
          <w:szCs w:val="26"/>
        </w:rPr>
        <w:t>2024</w:t>
      </w:r>
      <w:r w:rsidRPr="00CD52E7">
        <w:rPr>
          <w:sz w:val="26"/>
          <w:szCs w:val="26"/>
        </w:rPr>
        <w:t xml:space="preserve"> г. составляет </w:t>
      </w:r>
      <w:r w:rsidR="0069291B">
        <w:rPr>
          <w:sz w:val="26"/>
          <w:szCs w:val="26"/>
        </w:rPr>
        <w:t>9582</w:t>
      </w:r>
      <w:r w:rsidRPr="00CD52E7">
        <w:rPr>
          <w:sz w:val="26"/>
          <w:szCs w:val="26"/>
        </w:rPr>
        <w:t xml:space="preserve"> человеко-часов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работы не выполняет.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1 полугодия </w:t>
      </w:r>
      <w:r w:rsidR="0069291B">
        <w:rPr>
          <w:sz w:val="26"/>
          <w:szCs w:val="26"/>
        </w:rPr>
        <w:t>2024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69291B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69291B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Согласно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69291B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услугам </w:t>
      </w:r>
      <w:r>
        <w:rPr>
          <w:sz w:val="26"/>
          <w:szCs w:val="26"/>
        </w:rPr>
        <w:t>выполняется учреждением в соответствии с запланированными показателями объема</w:t>
      </w:r>
      <w:r w:rsidR="00B854A3">
        <w:rPr>
          <w:sz w:val="26"/>
          <w:szCs w:val="26"/>
        </w:rPr>
        <w:t xml:space="preserve"> и качества</w:t>
      </w:r>
      <w:r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69291B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отсутствуют. </w:t>
      </w: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3B2A2A" w:rsidRDefault="003B2A2A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>
      <w:pPr>
        <w:sectPr w:rsidR="00E751DE" w:rsidSect="000C20E1">
          <w:pgSz w:w="11906" w:h="16838"/>
          <w:pgMar w:top="1418" w:right="737" w:bottom="993" w:left="1701" w:header="709" w:footer="709" w:gutter="0"/>
          <w:cols w:space="720"/>
          <w:docGrid w:linePitch="360"/>
        </w:sectPr>
      </w:pPr>
    </w:p>
    <w:p w:rsidR="00E751DE" w:rsidRDefault="00E751DE" w:rsidP="00E751DE">
      <w:pPr>
        <w:jc w:val="right"/>
      </w:pPr>
      <w:r>
        <w:lastRenderedPageBreak/>
        <w:t>Приложение 1</w:t>
      </w:r>
    </w:p>
    <w:tbl>
      <w:tblPr>
        <w:tblW w:w="14332" w:type="dxa"/>
        <w:tblInd w:w="93" w:type="dxa"/>
        <w:tblLook w:val="04A0"/>
      </w:tblPr>
      <w:tblGrid>
        <w:gridCol w:w="2425"/>
        <w:gridCol w:w="567"/>
        <w:gridCol w:w="2835"/>
        <w:gridCol w:w="1276"/>
        <w:gridCol w:w="1417"/>
        <w:gridCol w:w="851"/>
        <w:gridCol w:w="1984"/>
        <w:gridCol w:w="284"/>
        <w:gridCol w:w="2693"/>
      </w:tblGrid>
      <w:tr w:rsidR="00AF3646" w:rsidRPr="00AF3646" w:rsidTr="00AF3646">
        <w:trPr>
          <w:trHeight w:val="975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бюджетным учреждением дополнительного образования «Детская школа искусств»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>. Емельяново за 2024 г. по состоянию на 01 июля 2024 г.</w:t>
            </w:r>
            <w:r w:rsidRPr="00AF3646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AF3646" w:rsidRPr="00AF3646" w:rsidTr="00AF3646">
        <w:trPr>
          <w:trHeight w:val="300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AF3646" w:rsidRPr="00AF3646" w:rsidTr="00AF3646">
        <w:trPr>
          <w:trHeight w:val="1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заданием, %</w:t>
            </w:r>
          </w:p>
        </w:tc>
      </w:tr>
      <w:tr w:rsidR="00AF3646" w:rsidRPr="00AF3646" w:rsidTr="00AF3646">
        <w:trPr>
          <w:trHeight w:val="5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646" w:rsidRPr="00AF3646" w:rsidTr="00AF3646">
        <w:trPr>
          <w:trHeight w:val="266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646" w:rsidRPr="00AF3646" w:rsidTr="00AF3646">
        <w:trPr>
          <w:trHeight w:val="4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646" w:rsidRPr="00AF3646" w:rsidTr="00AF3646">
        <w:trPr>
          <w:trHeight w:val="164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 xml:space="preserve">3.Реализация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646" w:rsidRPr="00AF3646" w:rsidTr="00AF3646">
        <w:trPr>
          <w:trHeight w:val="82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646" w:rsidRPr="00AF3646" w:rsidTr="00AF3646">
        <w:trPr>
          <w:trHeight w:val="98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lastRenderedPageBreak/>
              <w:t xml:space="preserve">4. 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646" w:rsidRPr="00AF3646" w:rsidTr="00AF3646">
        <w:trPr>
          <w:trHeight w:val="11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646" w:rsidRPr="00AF3646" w:rsidTr="00AF3646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646" w:rsidRPr="00AF3646" w:rsidRDefault="00AF3646" w:rsidP="00AF364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3646" w:rsidRPr="00AF3646" w:rsidTr="00AF3646">
        <w:trPr>
          <w:trHeight w:val="300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AF3646" w:rsidRPr="00AF3646" w:rsidTr="00AF3646">
        <w:trPr>
          <w:trHeight w:val="2343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AF3646" w:rsidRPr="00AF3646" w:rsidTr="00AF3646">
        <w:trPr>
          <w:trHeight w:val="3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646" w:rsidRPr="00AF3646" w:rsidRDefault="00AF3646" w:rsidP="00AF3646">
            <w:pPr>
              <w:jc w:val="both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</w:rPr>
            </w:pPr>
            <w:r w:rsidRPr="00AF3646">
              <w:rPr>
                <w:color w:val="000000"/>
              </w:rPr>
              <w:t>1257,00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55,69</w:t>
            </w:r>
          </w:p>
        </w:tc>
      </w:tr>
      <w:tr w:rsidR="00AF3646" w:rsidRPr="00AF3646" w:rsidTr="00AF3646">
        <w:trPr>
          <w:trHeight w:val="74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</w:rPr>
            </w:pPr>
            <w:r w:rsidRPr="00AF3646">
              <w:rPr>
                <w:color w:val="000000"/>
              </w:rPr>
              <w:t>4502,00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55,53</w:t>
            </w:r>
          </w:p>
        </w:tc>
      </w:tr>
      <w:tr w:rsidR="00AF3646" w:rsidRPr="00AF3646" w:rsidTr="00AF3646">
        <w:trPr>
          <w:trHeight w:val="45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</w:rPr>
            </w:pPr>
            <w:r w:rsidRPr="00AF3646">
              <w:rPr>
                <w:color w:val="000000"/>
              </w:rPr>
              <w:t>3900,00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2170,00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55,64</w:t>
            </w:r>
          </w:p>
        </w:tc>
      </w:tr>
      <w:tr w:rsidR="00AF3646" w:rsidRPr="00AF3646" w:rsidTr="00AF3646">
        <w:trPr>
          <w:trHeight w:val="703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lastRenderedPageBreak/>
              <w:t xml:space="preserve">4. Реализация дополнительных </w:t>
            </w:r>
            <w:proofErr w:type="spellStart"/>
            <w:r w:rsidRPr="00AF3646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AF3646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</w:rPr>
            </w:pPr>
            <w:r w:rsidRPr="00AF3646">
              <w:rPr>
                <w:color w:val="000000"/>
              </w:rPr>
              <w:t>9582,00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5325,00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46" w:rsidRPr="00AF3646" w:rsidRDefault="00AF3646" w:rsidP="00AF3646">
            <w:pPr>
              <w:jc w:val="center"/>
              <w:rPr>
                <w:color w:val="000000"/>
                <w:sz w:val="22"/>
                <w:szCs w:val="22"/>
              </w:rPr>
            </w:pPr>
            <w:r w:rsidRPr="00AF3646">
              <w:rPr>
                <w:color w:val="000000"/>
                <w:sz w:val="22"/>
                <w:szCs w:val="22"/>
              </w:rPr>
              <w:t>55,57</w:t>
            </w:r>
          </w:p>
        </w:tc>
      </w:tr>
    </w:tbl>
    <w:p w:rsidR="00E751DE" w:rsidRDefault="00E751DE" w:rsidP="00E751DE">
      <w:pPr>
        <w:jc w:val="right"/>
      </w:pPr>
    </w:p>
    <w:sectPr w:rsidR="00E751DE" w:rsidSect="004C6461">
      <w:pgSz w:w="16838" w:h="11906" w:orient="landscape"/>
      <w:pgMar w:top="1701" w:right="1418" w:bottom="709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ECB"/>
    <w:rsid w:val="00045A74"/>
    <w:rsid w:val="000C1C1E"/>
    <w:rsid w:val="001B18CF"/>
    <w:rsid w:val="003B2A2A"/>
    <w:rsid w:val="004847C4"/>
    <w:rsid w:val="004C6461"/>
    <w:rsid w:val="004D2FDD"/>
    <w:rsid w:val="006134E6"/>
    <w:rsid w:val="0069291B"/>
    <w:rsid w:val="00813EA5"/>
    <w:rsid w:val="009E359D"/>
    <w:rsid w:val="00AF3646"/>
    <w:rsid w:val="00B105F1"/>
    <w:rsid w:val="00B854A3"/>
    <w:rsid w:val="00BE71EC"/>
    <w:rsid w:val="00D54ECB"/>
    <w:rsid w:val="00D62CCD"/>
    <w:rsid w:val="00D82D0E"/>
    <w:rsid w:val="00E13A84"/>
    <w:rsid w:val="00E71FA2"/>
    <w:rsid w:val="00E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10</cp:revision>
  <cp:lastPrinted>2019-07-10T06:29:00Z</cp:lastPrinted>
  <dcterms:created xsi:type="dcterms:W3CDTF">2017-07-20T06:24:00Z</dcterms:created>
  <dcterms:modified xsi:type="dcterms:W3CDTF">2024-08-07T07:22:00Z</dcterms:modified>
</cp:coreProperties>
</file>