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0" w:rsidRPr="009B2D81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за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 w:rsidR="0068233A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104A20" w:rsidRDefault="00104A20" w:rsidP="00104A20">
      <w:pPr>
        <w:jc w:val="center"/>
      </w:pPr>
    </w:p>
    <w:p w:rsidR="00104A20" w:rsidRPr="0032007A" w:rsidRDefault="00104A20" w:rsidP="00104A20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 w:rsidR="00137A8C"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</w:t>
      </w:r>
      <w:proofErr w:type="gramEnd"/>
      <w:r w:rsidR="00137A8C">
        <w:rPr>
          <w:sz w:val="26"/>
          <w:szCs w:val="26"/>
        </w:rPr>
        <w:t xml:space="preserve"> </w:t>
      </w:r>
      <w:proofErr w:type="gramStart"/>
      <w:r w:rsidR="00137A8C">
        <w:rPr>
          <w:sz w:val="26"/>
          <w:szCs w:val="26"/>
        </w:rPr>
        <w:t>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  <w:proofErr w:type="gramEnd"/>
    </w:p>
    <w:p w:rsidR="00104A20" w:rsidRPr="00A82FD7" w:rsidRDefault="00104A20" w:rsidP="00104A20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F31405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31405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муниципальной услуги</w:t>
      </w:r>
      <w:r w:rsidR="00F21250" w:rsidRPr="00A82FD7">
        <w:rPr>
          <w:sz w:val="26"/>
          <w:szCs w:val="26"/>
        </w:rPr>
        <w:t xml:space="preserve"> является </w:t>
      </w:r>
      <w:proofErr w:type="spellStart"/>
      <w:r w:rsidR="00F21250">
        <w:rPr>
          <w:sz w:val="26"/>
          <w:szCs w:val="26"/>
        </w:rPr>
        <w:t>заполняемость</w:t>
      </w:r>
      <w:proofErr w:type="spellEnd"/>
      <w:r w:rsidR="00F21250">
        <w:rPr>
          <w:sz w:val="26"/>
          <w:szCs w:val="26"/>
        </w:rPr>
        <w:t xml:space="preserve"> зала</w:t>
      </w:r>
      <w:r w:rsidR="00F21250"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</w:t>
      </w:r>
      <w:r w:rsidR="00715220">
        <w:rPr>
          <w:sz w:val="26"/>
          <w:szCs w:val="26"/>
        </w:rPr>
        <w:t>2</w:t>
      </w:r>
      <w:r w:rsidR="00F31405">
        <w:rPr>
          <w:sz w:val="26"/>
          <w:szCs w:val="26"/>
        </w:rPr>
        <w:t>3</w:t>
      </w:r>
      <w:r w:rsidR="00F21250"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100</w:t>
      </w:r>
      <w:r w:rsidR="00F21250">
        <w:rPr>
          <w:sz w:val="26"/>
          <w:szCs w:val="26"/>
        </w:rPr>
        <w:t xml:space="preserve"> процентов</w:t>
      </w:r>
      <w:r w:rsidR="00F21250"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доля потребителей, удовлетворенных качеством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>100 процентов.</w:t>
      </w:r>
      <w:r w:rsidR="00F21250"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715220"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F21250">
        <w:rPr>
          <w:sz w:val="26"/>
          <w:szCs w:val="26"/>
        </w:rPr>
        <w:t xml:space="preserve"> 3</w:t>
      </w:r>
      <w:r w:rsidR="00715220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единицы</w:t>
      </w:r>
      <w:r w:rsidRPr="0032007A">
        <w:rPr>
          <w:sz w:val="26"/>
          <w:szCs w:val="26"/>
        </w:rPr>
        <w:t xml:space="preserve">. </w:t>
      </w:r>
    </w:p>
    <w:p w:rsidR="00104A20" w:rsidRPr="00FE59F7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</w:t>
      </w:r>
      <w:r w:rsidR="00F21250" w:rsidRPr="0032007A">
        <w:rPr>
          <w:sz w:val="26"/>
          <w:szCs w:val="26"/>
        </w:rPr>
        <w:lastRenderedPageBreak/>
        <w:t xml:space="preserve">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</w:t>
      </w:r>
      <w:r w:rsidR="00F3140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</w:t>
      </w:r>
      <w:r w:rsidRPr="0032007A">
        <w:rPr>
          <w:sz w:val="26"/>
          <w:szCs w:val="26"/>
        </w:rPr>
        <w:t xml:space="preserve">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68233A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</w:t>
      </w:r>
      <w:r w:rsidR="00F31405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68233A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070B7F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проведенного мониторинга, необходимо отметить существенное превышение фактических темпов выполнения муниципального задания над </w:t>
      </w:r>
      <w:proofErr w:type="gramStart"/>
      <w:r>
        <w:rPr>
          <w:sz w:val="26"/>
          <w:szCs w:val="26"/>
        </w:rPr>
        <w:t>запланированными</w:t>
      </w:r>
      <w:proofErr w:type="gramEnd"/>
      <w:r>
        <w:rPr>
          <w:sz w:val="26"/>
          <w:szCs w:val="26"/>
        </w:rPr>
        <w:t xml:space="preserve"> по муниципальной </w:t>
      </w:r>
      <w:r w:rsidR="00FE767B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: </w:t>
      </w:r>
      <w:r w:rsidR="00FE767B">
        <w:rPr>
          <w:sz w:val="26"/>
          <w:szCs w:val="26"/>
        </w:rPr>
        <w:t>«</w:t>
      </w:r>
      <w:r w:rsidR="00FE767B" w:rsidRPr="00FE767B"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</w:t>
      </w:r>
      <w:r w:rsidR="00FE767B">
        <w:rPr>
          <w:sz w:val="26"/>
          <w:szCs w:val="26"/>
        </w:rPr>
        <w:t xml:space="preserve">» (111,11%). </w:t>
      </w:r>
      <w:r w:rsidRPr="00856259">
        <w:rPr>
          <w:sz w:val="26"/>
          <w:szCs w:val="26"/>
        </w:rPr>
        <w:t>В связи с этим</w:t>
      </w:r>
      <w:r>
        <w:rPr>
          <w:sz w:val="26"/>
          <w:szCs w:val="26"/>
        </w:rPr>
        <w:t>, рекомендуется внесение изменений в муниципальное задание учреждения в части увеличения п</w:t>
      </w:r>
      <w:r w:rsidRPr="00CD2183">
        <w:rPr>
          <w:sz w:val="26"/>
          <w:szCs w:val="26"/>
        </w:rPr>
        <w:t>оказател</w:t>
      </w:r>
      <w:r>
        <w:rPr>
          <w:sz w:val="26"/>
          <w:szCs w:val="26"/>
        </w:rPr>
        <w:t xml:space="preserve">ей </w:t>
      </w:r>
      <w:r w:rsidRPr="00CD2183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 </w:t>
      </w:r>
      <w:r w:rsidR="00FE767B">
        <w:rPr>
          <w:sz w:val="26"/>
          <w:szCs w:val="26"/>
        </w:rPr>
        <w:t>выполняемой работы</w:t>
      </w:r>
      <w:r>
        <w:rPr>
          <w:sz w:val="26"/>
          <w:szCs w:val="26"/>
        </w:rPr>
        <w:t xml:space="preserve">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другим муниципальным услугам (выполняемым работам) </w:t>
      </w:r>
      <w:r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>
        <w:rPr>
          <w:sz w:val="26"/>
          <w:szCs w:val="26"/>
        </w:rPr>
        <w:t>202</w:t>
      </w:r>
      <w:r w:rsidR="00FE767B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</w:t>
      </w: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tbl>
      <w:tblPr>
        <w:tblW w:w="14332" w:type="dxa"/>
        <w:tblInd w:w="93" w:type="dxa"/>
        <w:tblLook w:val="04A0"/>
      </w:tblPr>
      <w:tblGrid>
        <w:gridCol w:w="2567"/>
        <w:gridCol w:w="2835"/>
        <w:gridCol w:w="2835"/>
        <w:gridCol w:w="3119"/>
        <w:gridCol w:w="2976"/>
      </w:tblGrid>
      <w:tr w:rsidR="0068233A" w:rsidRPr="0068233A" w:rsidTr="0068233A">
        <w:trPr>
          <w:trHeight w:val="99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культуры «Емельяновский районный Дом культуры</w:t>
            </w:r>
            <w:proofErr w:type="gramStart"/>
            <w:r w:rsidRPr="0068233A">
              <w:rPr>
                <w:color w:val="000000"/>
                <w:sz w:val="22"/>
                <w:szCs w:val="22"/>
              </w:rPr>
              <w:t>»з</w:t>
            </w:r>
            <w:proofErr w:type="gramEnd"/>
            <w:r w:rsidRPr="0068233A">
              <w:rPr>
                <w:color w:val="000000"/>
                <w:sz w:val="22"/>
                <w:szCs w:val="22"/>
              </w:rPr>
              <w:t>а 2023 г. по состоянию на 01 октября 2023 г.</w:t>
            </w:r>
            <w:r w:rsidRPr="0068233A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68233A" w:rsidRPr="0068233A" w:rsidTr="0068233A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68233A" w:rsidRPr="0068233A" w:rsidTr="0068233A">
        <w:trPr>
          <w:trHeight w:val="19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68233A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68233A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68233A" w:rsidRPr="0068233A" w:rsidTr="006823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33A"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 w:rsidRPr="0068233A"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8233A" w:rsidRPr="0068233A" w:rsidTr="0068233A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33A" w:rsidRPr="0068233A" w:rsidTr="0068233A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68233A" w:rsidRPr="0068233A" w:rsidTr="0068233A">
        <w:trPr>
          <w:trHeight w:val="18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68233A" w:rsidRPr="0068233A" w:rsidTr="0068233A">
        <w:trPr>
          <w:trHeight w:val="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3250,00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1517,00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46,68</w:t>
            </w:r>
          </w:p>
        </w:tc>
      </w:tr>
      <w:tr w:rsidR="0068233A" w:rsidRPr="0068233A" w:rsidTr="0068233A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</w:rPr>
            </w:pPr>
          </w:p>
          <w:p w:rsidR="0068233A" w:rsidRPr="0068233A" w:rsidRDefault="0068233A" w:rsidP="006823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33A" w:rsidRPr="0068233A" w:rsidTr="0068233A">
        <w:trPr>
          <w:trHeight w:val="33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lastRenderedPageBreak/>
              <w:t>по муниципальным работам</w:t>
            </w:r>
          </w:p>
        </w:tc>
      </w:tr>
      <w:tr w:rsidR="0068233A" w:rsidRPr="0068233A" w:rsidTr="0068233A">
        <w:trPr>
          <w:trHeight w:val="33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68233A" w:rsidRPr="0068233A" w:rsidTr="0068233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</w:tr>
      <w:tr w:rsidR="0068233A" w:rsidRPr="0068233A" w:rsidTr="0068233A">
        <w:trPr>
          <w:trHeight w:val="18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68233A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68233A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68233A" w:rsidRPr="0068233A" w:rsidTr="0068233A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8233A" w:rsidRPr="0068233A" w:rsidTr="0068233A">
        <w:trPr>
          <w:trHeight w:val="8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8233A" w:rsidRPr="0068233A" w:rsidTr="0068233A">
        <w:trPr>
          <w:trHeight w:val="3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8233A" w:rsidRPr="0068233A" w:rsidTr="0068233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33A" w:rsidRPr="0068233A" w:rsidTr="0068233A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68233A" w:rsidRPr="0068233A" w:rsidTr="0068233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</w:p>
        </w:tc>
      </w:tr>
      <w:tr w:rsidR="0068233A" w:rsidRPr="0068233A" w:rsidTr="0068233A">
        <w:trPr>
          <w:trHeight w:val="19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68233A" w:rsidRPr="0068233A" w:rsidTr="0068233A">
        <w:trPr>
          <w:trHeight w:val="6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386,00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8233A" w:rsidRPr="0068233A" w:rsidTr="0068233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342,00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70,18</w:t>
            </w:r>
          </w:p>
        </w:tc>
      </w:tr>
      <w:tr w:rsidR="0068233A" w:rsidRPr="0068233A" w:rsidTr="0068233A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</w:rPr>
            </w:pPr>
            <w:r w:rsidRPr="0068233A">
              <w:rPr>
                <w:color w:val="000000"/>
              </w:rPr>
              <w:t>9,00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A" w:rsidRPr="0068233A" w:rsidRDefault="0068233A" w:rsidP="0068233A">
            <w:pPr>
              <w:jc w:val="center"/>
              <w:rPr>
                <w:color w:val="000000"/>
                <w:sz w:val="22"/>
                <w:szCs w:val="22"/>
              </w:rPr>
            </w:pPr>
            <w:r w:rsidRPr="0068233A">
              <w:rPr>
                <w:color w:val="000000"/>
                <w:sz w:val="22"/>
                <w:szCs w:val="22"/>
              </w:rPr>
              <w:t>111,11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1" w:rsidRDefault="00E04E81" w:rsidP="008F5986">
      <w:r>
        <w:separator/>
      </w:r>
    </w:p>
  </w:endnote>
  <w:endnote w:type="continuationSeparator" w:id="0">
    <w:p w:rsidR="00E04E81" w:rsidRDefault="00E04E81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1" w:rsidRDefault="00E04E81" w:rsidP="008F5986">
      <w:r>
        <w:separator/>
      </w:r>
    </w:p>
  </w:footnote>
  <w:footnote w:type="continuationSeparator" w:id="0">
    <w:p w:rsidR="00E04E81" w:rsidRDefault="00E04E81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37A8C"/>
    <w:rsid w:val="002B6B31"/>
    <w:rsid w:val="003A7F0F"/>
    <w:rsid w:val="0068233A"/>
    <w:rsid w:val="00715220"/>
    <w:rsid w:val="007F206D"/>
    <w:rsid w:val="00810408"/>
    <w:rsid w:val="00890A9D"/>
    <w:rsid w:val="008F5986"/>
    <w:rsid w:val="00A05E69"/>
    <w:rsid w:val="00B71564"/>
    <w:rsid w:val="00BD04A4"/>
    <w:rsid w:val="00BE2293"/>
    <w:rsid w:val="00D16EFE"/>
    <w:rsid w:val="00D61609"/>
    <w:rsid w:val="00D7765B"/>
    <w:rsid w:val="00E04E81"/>
    <w:rsid w:val="00E07E08"/>
    <w:rsid w:val="00F21250"/>
    <w:rsid w:val="00F31405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dcterms:created xsi:type="dcterms:W3CDTF">2017-07-20T06:05:00Z</dcterms:created>
  <dcterms:modified xsi:type="dcterms:W3CDTF">2023-11-27T04:19:00Z</dcterms:modified>
</cp:coreProperties>
</file>