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20" w:rsidRPr="009B2D81" w:rsidRDefault="00104A20" w:rsidP="00104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</w:t>
      </w:r>
      <w:r w:rsidRPr="00E00922">
        <w:rPr>
          <w:b/>
          <w:sz w:val="28"/>
          <w:szCs w:val="28"/>
        </w:rPr>
        <w:t xml:space="preserve">результатам проведенного мониторинга выполнения муниципального задания </w:t>
      </w:r>
      <w:r>
        <w:rPr>
          <w:b/>
          <w:sz w:val="28"/>
          <w:szCs w:val="28"/>
        </w:rPr>
        <w:t>м</w:t>
      </w:r>
      <w:r w:rsidRPr="009B2D81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9B2D81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ым</w:t>
      </w:r>
      <w:r w:rsidRPr="009B2D81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ем</w:t>
      </w:r>
      <w:r w:rsidRPr="009B2D81">
        <w:rPr>
          <w:b/>
          <w:sz w:val="28"/>
          <w:szCs w:val="28"/>
        </w:rPr>
        <w:t xml:space="preserve"> культуры «Емельяновский </w:t>
      </w:r>
      <w:r w:rsidR="00137A8C">
        <w:rPr>
          <w:b/>
          <w:sz w:val="28"/>
          <w:szCs w:val="28"/>
        </w:rPr>
        <w:t>районный</w:t>
      </w:r>
      <w:r w:rsidRPr="009B2D81">
        <w:rPr>
          <w:b/>
          <w:sz w:val="28"/>
          <w:szCs w:val="28"/>
        </w:rPr>
        <w:t xml:space="preserve"> Дом культуры» за </w:t>
      </w:r>
      <w:r w:rsidR="008F5986">
        <w:rPr>
          <w:b/>
          <w:sz w:val="28"/>
          <w:szCs w:val="28"/>
        </w:rPr>
        <w:t>202</w:t>
      </w:r>
      <w:r w:rsidR="00F31405">
        <w:rPr>
          <w:b/>
          <w:sz w:val="28"/>
          <w:szCs w:val="28"/>
        </w:rPr>
        <w:t>3</w:t>
      </w:r>
      <w:r w:rsidRPr="009B2D81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9B2D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июля </w:t>
      </w:r>
      <w:r w:rsidR="008F5986">
        <w:rPr>
          <w:b/>
          <w:sz w:val="28"/>
          <w:szCs w:val="28"/>
        </w:rPr>
        <w:t>202</w:t>
      </w:r>
      <w:r w:rsidR="00F31405">
        <w:rPr>
          <w:b/>
          <w:sz w:val="28"/>
          <w:szCs w:val="28"/>
        </w:rPr>
        <w:t>3</w:t>
      </w:r>
      <w:r w:rsidRPr="009B2D81">
        <w:rPr>
          <w:b/>
          <w:sz w:val="28"/>
          <w:szCs w:val="28"/>
        </w:rPr>
        <w:t xml:space="preserve"> г. </w:t>
      </w:r>
    </w:p>
    <w:p w:rsidR="00104A20" w:rsidRDefault="00104A20" w:rsidP="00104A20">
      <w:pPr>
        <w:jc w:val="center"/>
      </w:pPr>
    </w:p>
    <w:p w:rsidR="00104A20" w:rsidRDefault="00104A20" w:rsidP="00104A20">
      <w:pPr>
        <w:jc w:val="center"/>
      </w:pPr>
    </w:p>
    <w:p w:rsidR="00104A20" w:rsidRPr="0032007A" w:rsidRDefault="00104A20" w:rsidP="00104A20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</w:t>
      </w:r>
      <w:r w:rsidRPr="00DB3F43">
        <w:rPr>
          <w:sz w:val="26"/>
          <w:szCs w:val="26"/>
        </w:rPr>
        <w:t>Отдел культуры»</w:t>
      </w:r>
      <w:r>
        <w:rPr>
          <w:sz w:val="26"/>
          <w:szCs w:val="26"/>
        </w:rPr>
        <w:t>),</w:t>
      </w:r>
      <w:r w:rsidRPr="00DB3F43">
        <w:rPr>
          <w:sz w:val="26"/>
          <w:szCs w:val="26"/>
        </w:rPr>
        <w:t xml:space="preserve"> осуществляющим функции и полномочия учредителя муниципального бюджетного учреждения культуры «Емельяновский </w:t>
      </w:r>
      <w:r w:rsidR="00137A8C">
        <w:rPr>
          <w:sz w:val="26"/>
          <w:szCs w:val="26"/>
        </w:rPr>
        <w:t>районный</w:t>
      </w:r>
      <w:r w:rsidRPr="00DB3F43">
        <w:rPr>
          <w:sz w:val="26"/>
          <w:szCs w:val="26"/>
        </w:rPr>
        <w:t xml:space="preserve"> Дом культуры» (далее – 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</w:t>
      </w:r>
      <w:proofErr w:type="gramEnd"/>
      <w:r w:rsidR="00137A8C">
        <w:rPr>
          <w:sz w:val="26"/>
          <w:szCs w:val="26"/>
        </w:rPr>
        <w:t xml:space="preserve"> </w:t>
      </w:r>
      <w:proofErr w:type="gramStart"/>
      <w:r w:rsidR="00137A8C">
        <w:rPr>
          <w:sz w:val="26"/>
          <w:szCs w:val="26"/>
        </w:rPr>
        <w:t>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DB3F43">
        <w:rPr>
          <w:sz w:val="26"/>
          <w:szCs w:val="26"/>
        </w:rPr>
        <w:t xml:space="preserve"> было сформировано муниципальное задание</w:t>
      </w:r>
      <w:r w:rsidRPr="0032007A">
        <w:rPr>
          <w:sz w:val="26"/>
          <w:szCs w:val="26"/>
        </w:rPr>
        <w:t xml:space="preserve">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и плановый период 20</w:t>
      </w:r>
      <w:r w:rsidR="00137A8C">
        <w:rPr>
          <w:sz w:val="26"/>
          <w:szCs w:val="26"/>
        </w:rPr>
        <w:t>2</w:t>
      </w:r>
      <w:r w:rsidR="00F31405">
        <w:rPr>
          <w:sz w:val="26"/>
          <w:szCs w:val="26"/>
        </w:rPr>
        <w:t>4</w:t>
      </w:r>
      <w:r w:rsidR="00F21250">
        <w:rPr>
          <w:sz w:val="26"/>
          <w:szCs w:val="26"/>
        </w:rPr>
        <w:t>-202</w:t>
      </w:r>
      <w:r w:rsidR="00F31405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гг. </w:t>
      </w:r>
      <w:proofErr w:type="gramEnd"/>
    </w:p>
    <w:p w:rsidR="00104A20" w:rsidRPr="00A82FD7" w:rsidRDefault="00104A20" w:rsidP="00104A20">
      <w:pPr>
        <w:ind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 xml:space="preserve">Муниципальное задание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 w:rsidRPr="0032007A">
        <w:rPr>
          <w:sz w:val="26"/>
          <w:szCs w:val="26"/>
        </w:rPr>
        <w:t xml:space="preserve">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и плановый период 20</w:t>
      </w:r>
      <w:r w:rsidR="00137A8C">
        <w:rPr>
          <w:sz w:val="26"/>
          <w:szCs w:val="26"/>
        </w:rPr>
        <w:t>2</w:t>
      </w:r>
      <w:r w:rsidR="00F31405">
        <w:rPr>
          <w:sz w:val="26"/>
          <w:szCs w:val="26"/>
        </w:rPr>
        <w:t>4</w:t>
      </w:r>
      <w:r w:rsidR="00F21250">
        <w:rPr>
          <w:sz w:val="26"/>
          <w:szCs w:val="26"/>
        </w:rPr>
        <w:t>-202</w:t>
      </w:r>
      <w:r w:rsidR="00F31405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гг., утвержденное приказом МКУ «Отдел культуры» от </w:t>
      </w:r>
      <w:r w:rsidR="00F31405">
        <w:rPr>
          <w:sz w:val="26"/>
          <w:szCs w:val="26"/>
        </w:rPr>
        <w:t>09</w:t>
      </w:r>
      <w:r w:rsidRPr="0032007A">
        <w:rPr>
          <w:sz w:val="26"/>
          <w:szCs w:val="26"/>
        </w:rPr>
        <w:t>.01.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№ </w:t>
      </w:r>
      <w:r w:rsidR="00F31405">
        <w:rPr>
          <w:sz w:val="26"/>
          <w:szCs w:val="26"/>
        </w:rPr>
        <w:t>4</w:t>
      </w:r>
      <w:r w:rsidRPr="0032007A">
        <w:rPr>
          <w:sz w:val="26"/>
          <w:szCs w:val="26"/>
        </w:rPr>
        <w:t xml:space="preserve">, состоит из 3-х частей. Первая часть муниципального задания содержит сведения об оказываемых услугах.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оказывает одну муниципальную услугу: «</w:t>
      </w:r>
      <w:r>
        <w:rPr>
          <w:sz w:val="26"/>
          <w:szCs w:val="26"/>
        </w:rPr>
        <w:t>Показ (организация показа) концертных программ</w:t>
      </w:r>
      <w:r w:rsidRPr="0032007A">
        <w:rPr>
          <w:sz w:val="26"/>
          <w:szCs w:val="26"/>
        </w:rPr>
        <w:t xml:space="preserve">».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муниципальной услуги</w:t>
      </w:r>
      <w:r w:rsidR="00F21250" w:rsidRPr="00A82FD7">
        <w:rPr>
          <w:sz w:val="26"/>
          <w:szCs w:val="26"/>
        </w:rPr>
        <w:t xml:space="preserve"> является </w:t>
      </w:r>
      <w:proofErr w:type="spellStart"/>
      <w:r w:rsidR="00F21250">
        <w:rPr>
          <w:sz w:val="26"/>
          <w:szCs w:val="26"/>
        </w:rPr>
        <w:t>заполняемость</w:t>
      </w:r>
      <w:proofErr w:type="spellEnd"/>
      <w:r w:rsidR="00F21250">
        <w:rPr>
          <w:sz w:val="26"/>
          <w:szCs w:val="26"/>
        </w:rPr>
        <w:t xml:space="preserve"> зала</w:t>
      </w:r>
      <w:r w:rsidR="00F21250" w:rsidRPr="00A82FD7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8F5986">
        <w:rPr>
          <w:sz w:val="26"/>
          <w:szCs w:val="26"/>
        </w:rPr>
        <w:t>20</w:t>
      </w:r>
      <w:r w:rsidR="00715220">
        <w:rPr>
          <w:sz w:val="26"/>
          <w:szCs w:val="26"/>
        </w:rPr>
        <w:t>2</w:t>
      </w:r>
      <w:r w:rsidR="00F31405">
        <w:rPr>
          <w:sz w:val="26"/>
          <w:szCs w:val="26"/>
        </w:rPr>
        <w:t>3</w:t>
      </w:r>
      <w:r w:rsidR="00F21250" w:rsidRPr="00A82FD7">
        <w:rPr>
          <w:sz w:val="26"/>
          <w:szCs w:val="26"/>
        </w:rPr>
        <w:t xml:space="preserve"> г. составляет </w:t>
      </w:r>
      <w:r w:rsidR="00F31405">
        <w:rPr>
          <w:sz w:val="26"/>
          <w:szCs w:val="26"/>
        </w:rPr>
        <w:t>100</w:t>
      </w:r>
      <w:r w:rsidR="00F21250">
        <w:rPr>
          <w:sz w:val="26"/>
          <w:szCs w:val="26"/>
        </w:rPr>
        <w:t xml:space="preserve"> процентов</w:t>
      </w:r>
      <w:r w:rsidR="00F21250" w:rsidRPr="00A82FD7">
        <w:rPr>
          <w:sz w:val="26"/>
          <w:szCs w:val="26"/>
        </w:rPr>
        <w:t xml:space="preserve">. </w:t>
      </w:r>
      <w:r w:rsidRPr="0032007A">
        <w:rPr>
          <w:sz w:val="26"/>
          <w:szCs w:val="26"/>
        </w:rPr>
        <w:t>Показателем объема муниципальной услуги</w:t>
      </w:r>
      <w:r w:rsidRPr="00A82FD7">
        <w:rPr>
          <w:sz w:val="26"/>
          <w:szCs w:val="26"/>
        </w:rPr>
        <w:t xml:space="preserve"> является </w:t>
      </w:r>
      <w:r>
        <w:rPr>
          <w:sz w:val="26"/>
          <w:szCs w:val="26"/>
        </w:rPr>
        <w:t>число зрителей</w:t>
      </w:r>
      <w:r w:rsidRPr="00A82FD7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составляет </w:t>
      </w:r>
      <w:r w:rsidR="00F31405">
        <w:rPr>
          <w:sz w:val="26"/>
          <w:szCs w:val="26"/>
        </w:rPr>
        <w:t>3250</w:t>
      </w:r>
      <w:r w:rsidRPr="00A82FD7">
        <w:rPr>
          <w:sz w:val="26"/>
          <w:szCs w:val="26"/>
        </w:rPr>
        <w:t xml:space="preserve"> человек. </w:t>
      </w:r>
    </w:p>
    <w:p w:rsidR="00104A20" w:rsidRDefault="00104A20" w:rsidP="00104A20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состоит из трех разделов и </w:t>
      </w:r>
      <w:r w:rsidRPr="00A82FD7">
        <w:rPr>
          <w:sz w:val="26"/>
          <w:szCs w:val="26"/>
        </w:rPr>
        <w:t xml:space="preserve">содержит сведения о выполняемых работах.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 w:rsidRPr="00A82FD7">
        <w:rPr>
          <w:sz w:val="26"/>
          <w:szCs w:val="26"/>
        </w:rPr>
        <w:t xml:space="preserve">выполняет </w:t>
      </w:r>
      <w:r>
        <w:rPr>
          <w:sz w:val="26"/>
          <w:szCs w:val="26"/>
        </w:rPr>
        <w:t>три работы:</w:t>
      </w:r>
    </w:p>
    <w:p w:rsidR="00104A20" w:rsidRDefault="00104A20" w:rsidP="00137A8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деятельности клубных формирований и формирований самодеятельного народного творчества</w:t>
      </w:r>
      <w:r w:rsidRPr="0032007A">
        <w:rPr>
          <w:sz w:val="26"/>
          <w:szCs w:val="26"/>
        </w:rPr>
        <w:t xml:space="preserve">».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 является </w:t>
      </w:r>
      <w:r w:rsidR="00F21250">
        <w:rPr>
          <w:sz w:val="26"/>
          <w:szCs w:val="26"/>
        </w:rPr>
        <w:t>доля потребителей, удовлетворенных качеством</w:t>
      </w:r>
      <w:r w:rsidR="00F21250" w:rsidRPr="0032007A">
        <w:rPr>
          <w:sz w:val="26"/>
          <w:szCs w:val="26"/>
        </w:rPr>
        <w:t xml:space="preserve">, значение показателя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="00F21250" w:rsidRPr="0032007A">
        <w:rPr>
          <w:sz w:val="26"/>
          <w:szCs w:val="26"/>
        </w:rPr>
        <w:t xml:space="preserve"> г. составляет </w:t>
      </w:r>
      <w:r w:rsidR="00F21250">
        <w:rPr>
          <w:sz w:val="26"/>
          <w:szCs w:val="26"/>
        </w:rPr>
        <w:t>100 процентов.</w:t>
      </w:r>
      <w:r w:rsidR="00F21250" w:rsidRPr="0032007A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клубных формирований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 </w:t>
      </w:r>
      <w:r w:rsidR="00715220">
        <w:rPr>
          <w:sz w:val="26"/>
          <w:szCs w:val="26"/>
        </w:rPr>
        <w:t>386</w:t>
      </w:r>
      <w:r w:rsidRPr="0032007A">
        <w:rPr>
          <w:sz w:val="26"/>
          <w:szCs w:val="26"/>
        </w:rPr>
        <w:t xml:space="preserve"> единиц. </w:t>
      </w:r>
    </w:p>
    <w:p w:rsidR="00104A20" w:rsidRDefault="00104A20" w:rsidP="00137A8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и проведение культурно массовых мероприятий (культурно-массовых (иные зрелищные мероприятия))»</w:t>
      </w:r>
      <w:r w:rsidRPr="0032007A">
        <w:rPr>
          <w:sz w:val="26"/>
          <w:szCs w:val="26"/>
        </w:rPr>
        <w:t xml:space="preserve">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 является </w:t>
      </w:r>
      <w:r w:rsidR="00F21250">
        <w:rPr>
          <w:sz w:val="26"/>
          <w:szCs w:val="26"/>
        </w:rPr>
        <w:t>отсутствие обоснованных претензий учредителя к организации предоставления работы</w:t>
      </w:r>
      <w:r w:rsidR="00F21250" w:rsidRPr="0032007A">
        <w:rPr>
          <w:sz w:val="26"/>
          <w:szCs w:val="26"/>
        </w:rPr>
        <w:t xml:space="preserve">, значение показателя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="00F21250" w:rsidRPr="0032007A">
        <w:rPr>
          <w:sz w:val="26"/>
          <w:szCs w:val="26"/>
        </w:rPr>
        <w:t xml:space="preserve"> г. составляет </w:t>
      </w:r>
      <w:r w:rsidR="00F21250">
        <w:rPr>
          <w:sz w:val="26"/>
          <w:szCs w:val="26"/>
        </w:rPr>
        <w:t xml:space="preserve">100 процентов.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</w:t>
      </w:r>
      <w:r>
        <w:rPr>
          <w:sz w:val="26"/>
          <w:szCs w:val="26"/>
        </w:rPr>
        <w:t xml:space="preserve"> проведенных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</w:t>
      </w:r>
      <w:r w:rsidR="00F21250">
        <w:rPr>
          <w:sz w:val="26"/>
          <w:szCs w:val="26"/>
        </w:rPr>
        <w:t xml:space="preserve"> 3</w:t>
      </w:r>
      <w:r w:rsidR="00715220">
        <w:rPr>
          <w:sz w:val="26"/>
          <w:szCs w:val="26"/>
        </w:rPr>
        <w:t>42</w:t>
      </w:r>
      <w:r>
        <w:rPr>
          <w:sz w:val="26"/>
          <w:szCs w:val="26"/>
        </w:rPr>
        <w:t xml:space="preserve"> </w:t>
      </w:r>
      <w:r w:rsidR="00F21250">
        <w:rPr>
          <w:sz w:val="26"/>
          <w:szCs w:val="26"/>
        </w:rPr>
        <w:t>единицы</w:t>
      </w:r>
      <w:r w:rsidRPr="0032007A">
        <w:rPr>
          <w:sz w:val="26"/>
          <w:szCs w:val="26"/>
        </w:rPr>
        <w:t xml:space="preserve">. </w:t>
      </w:r>
    </w:p>
    <w:p w:rsidR="00104A20" w:rsidRPr="00FE59F7" w:rsidRDefault="00104A20" w:rsidP="00137A8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и проведение культурно-массовых мероприятий (творческих (фестиваль, выставка, конкурс, смотр))»</w:t>
      </w:r>
      <w:r w:rsidRPr="0032007A">
        <w:rPr>
          <w:sz w:val="26"/>
          <w:szCs w:val="26"/>
        </w:rPr>
        <w:t xml:space="preserve">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</w:t>
      </w:r>
      <w:r w:rsidR="00F21250" w:rsidRPr="0032007A">
        <w:rPr>
          <w:sz w:val="26"/>
          <w:szCs w:val="26"/>
        </w:rPr>
        <w:lastRenderedPageBreak/>
        <w:t xml:space="preserve">выполняемой работы является </w:t>
      </w:r>
      <w:r w:rsidR="00F21250">
        <w:rPr>
          <w:sz w:val="26"/>
          <w:szCs w:val="26"/>
        </w:rPr>
        <w:t>отсутствие обоснованных претензий учредителя к организации предоставления работы</w:t>
      </w:r>
      <w:r w:rsidR="00F21250" w:rsidRPr="0032007A">
        <w:rPr>
          <w:sz w:val="26"/>
          <w:szCs w:val="26"/>
        </w:rPr>
        <w:t xml:space="preserve">, значение показателя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="00F21250" w:rsidRPr="0032007A">
        <w:rPr>
          <w:sz w:val="26"/>
          <w:szCs w:val="26"/>
        </w:rPr>
        <w:t xml:space="preserve"> г. составляет </w:t>
      </w:r>
      <w:r w:rsidR="00F21250">
        <w:rPr>
          <w:sz w:val="26"/>
          <w:szCs w:val="26"/>
        </w:rPr>
        <w:t xml:space="preserve">100 процентов.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проведенных 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="00F21250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г. составляет</w:t>
      </w:r>
      <w:r>
        <w:rPr>
          <w:sz w:val="26"/>
          <w:szCs w:val="26"/>
        </w:rPr>
        <w:t xml:space="preserve"> </w:t>
      </w:r>
      <w:r w:rsidR="00F31405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F21250">
        <w:rPr>
          <w:sz w:val="26"/>
          <w:szCs w:val="26"/>
        </w:rPr>
        <w:t>единиц</w:t>
      </w:r>
      <w:r w:rsidRPr="0032007A">
        <w:rPr>
          <w:sz w:val="26"/>
          <w:szCs w:val="26"/>
        </w:rPr>
        <w:t xml:space="preserve">. </w:t>
      </w:r>
    </w:p>
    <w:p w:rsidR="00104A20" w:rsidRDefault="00104A20" w:rsidP="00104A20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070B7F" w:rsidRPr="00A82FD7" w:rsidRDefault="00070B7F" w:rsidP="00070B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1 полугодия 202</w:t>
      </w:r>
      <w:r w:rsidR="00F31405">
        <w:rPr>
          <w:sz w:val="26"/>
          <w:szCs w:val="26"/>
        </w:rPr>
        <w:t>3</w:t>
      </w:r>
      <w:r>
        <w:rPr>
          <w:sz w:val="26"/>
          <w:szCs w:val="26"/>
        </w:rPr>
        <w:t xml:space="preserve"> г. изменения в муниципальное задание</w:t>
      </w:r>
      <w:r w:rsidRPr="008C3F80">
        <w:rPr>
          <w:sz w:val="26"/>
          <w:szCs w:val="26"/>
        </w:rPr>
        <w:t xml:space="preserve"> </w:t>
      </w:r>
      <w:r>
        <w:rPr>
          <w:sz w:val="26"/>
          <w:szCs w:val="26"/>
        </w:rPr>
        <w:t>МБУК «Емельяновский РДК»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 вносились. </w:t>
      </w:r>
    </w:p>
    <w:p w:rsidR="00104A20" w:rsidRDefault="00104A20" w:rsidP="00104A20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BE2293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 w:rsidRPr="00A82FD7">
        <w:rPr>
          <w:sz w:val="26"/>
          <w:szCs w:val="26"/>
        </w:rPr>
        <w:t xml:space="preserve">за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(Приложение 1). </w:t>
      </w:r>
    </w:p>
    <w:p w:rsidR="00070B7F" w:rsidRDefault="00070B7F" w:rsidP="00070B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проведенного мониторинга, необходимо отметить существенное превышение фактических темпов выполнения муниципального задания над </w:t>
      </w:r>
      <w:proofErr w:type="gramStart"/>
      <w:r>
        <w:rPr>
          <w:sz w:val="26"/>
          <w:szCs w:val="26"/>
        </w:rPr>
        <w:t>запланированными</w:t>
      </w:r>
      <w:proofErr w:type="gramEnd"/>
      <w:r>
        <w:rPr>
          <w:sz w:val="26"/>
          <w:szCs w:val="26"/>
        </w:rPr>
        <w:t xml:space="preserve"> по муниципальной </w:t>
      </w:r>
      <w:r w:rsidR="00FE767B">
        <w:rPr>
          <w:sz w:val="26"/>
          <w:szCs w:val="26"/>
        </w:rPr>
        <w:t>работе</w:t>
      </w:r>
      <w:r>
        <w:rPr>
          <w:sz w:val="26"/>
          <w:szCs w:val="26"/>
        </w:rPr>
        <w:t xml:space="preserve">: </w:t>
      </w:r>
      <w:r w:rsidR="00FE767B">
        <w:rPr>
          <w:sz w:val="26"/>
          <w:szCs w:val="26"/>
        </w:rPr>
        <w:t>«</w:t>
      </w:r>
      <w:r w:rsidR="00FE767B" w:rsidRPr="00FE767B">
        <w:rPr>
          <w:sz w:val="26"/>
          <w:szCs w:val="26"/>
        </w:rPr>
        <w:t>Организация и проведение культурно-массовых мероприятий (творческих (фестиваль, выставка, конкурс, смотр))</w:t>
      </w:r>
      <w:r w:rsidR="00FE767B">
        <w:rPr>
          <w:sz w:val="26"/>
          <w:szCs w:val="26"/>
        </w:rPr>
        <w:t xml:space="preserve">» (111,11%). </w:t>
      </w:r>
      <w:r w:rsidRPr="00856259">
        <w:rPr>
          <w:sz w:val="26"/>
          <w:szCs w:val="26"/>
        </w:rPr>
        <w:t>В связи с этим</w:t>
      </w:r>
      <w:r>
        <w:rPr>
          <w:sz w:val="26"/>
          <w:szCs w:val="26"/>
        </w:rPr>
        <w:t>, рекомендуется внесение изменений в муниципальное задание учреждения в части увеличения п</w:t>
      </w:r>
      <w:r w:rsidRPr="00CD2183">
        <w:rPr>
          <w:sz w:val="26"/>
          <w:szCs w:val="26"/>
        </w:rPr>
        <w:t>оказател</w:t>
      </w:r>
      <w:r>
        <w:rPr>
          <w:sz w:val="26"/>
          <w:szCs w:val="26"/>
        </w:rPr>
        <w:t xml:space="preserve">ей </w:t>
      </w:r>
      <w:r w:rsidRPr="00CD2183">
        <w:rPr>
          <w:sz w:val="26"/>
          <w:szCs w:val="26"/>
        </w:rPr>
        <w:t>объема</w:t>
      </w:r>
      <w:r>
        <w:rPr>
          <w:sz w:val="26"/>
          <w:szCs w:val="26"/>
        </w:rPr>
        <w:t xml:space="preserve"> </w:t>
      </w:r>
      <w:r w:rsidR="00FE767B">
        <w:rPr>
          <w:sz w:val="26"/>
          <w:szCs w:val="26"/>
        </w:rPr>
        <w:t>выполняемой работы</w:t>
      </w:r>
      <w:r>
        <w:rPr>
          <w:sz w:val="26"/>
          <w:szCs w:val="26"/>
        </w:rPr>
        <w:t xml:space="preserve">. </w:t>
      </w:r>
    </w:p>
    <w:p w:rsidR="00070B7F" w:rsidRPr="00A82FD7" w:rsidRDefault="00070B7F" w:rsidP="00070B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другим муниципальным услугам (выполняемым работам) </w:t>
      </w:r>
      <w:r w:rsidRPr="00A82FD7">
        <w:rPr>
          <w:sz w:val="26"/>
          <w:szCs w:val="26"/>
        </w:rPr>
        <w:t xml:space="preserve">основания для внесения изменений в муниципальное задание на </w:t>
      </w:r>
      <w:r>
        <w:rPr>
          <w:sz w:val="26"/>
          <w:szCs w:val="26"/>
        </w:rPr>
        <w:t>202</w:t>
      </w:r>
      <w:r w:rsidR="00FE767B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отсутствуют.</w:t>
      </w:r>
    </w:p>
    <w:p w:rsidR="00070B7F" w:rsidRDefault="00070B7F" w:rsidP="00715220">
      <w:pPr>
        <w:ind w:firstLine="709"/>
        <w:jc w:val="both"/>
        <w:rPr>
          <w:sz w:val="26"/>
          <w:szCs w:val="26"/>
        </w:rPr>
      </w:pPr>
    </w:p>
    <w:p w:rsidR="00070B7F" w:rsidRDefault="00070B7F" w:rsidP="00715220">
      <w:pPr>
        <w:ind w:firstLine="709"/>
        <w:jc w:val="both"/>
        <w:rPr>
          <w:sz w:val="26"/>
          <w:szCs w:val="26"/>
        </w:rPr>
      </w:pPr>
    </w:p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>
      <w:pPr>
        <w:sectPr w:rsidR="008F5986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8F5986" w:rsidRDefault="008F5986" w:rsidP="008F5986">
      <w:pPr>
        <w:jc w:val="right"/>
      </w:pPr>
      <w:r>
        <w:lastRenderedPageBreak/>
        <w:t>Приложение 1</w:t>
      </w:r>
    </w:p>
    <w:p w:rsidR="008F5986" w:rsidRDefault="008F5986"/>
    <w:tbl>
      <w:tblPr>
        <w:tblW w:w="14049" w:type="dxa"/>
        <w:tblInd w:w="93" w:type="dxa"/>
        <w:tblLook w:val="04A0"/>
      </w:tblPr>
      <w:tblGrid>
        <w:gridCol w:w="2850"/>
        <w:gridCol w:w="2694"/>
        <w:gridCol w:w="2693"/>
        <w:gridCol w:w="2800"/>
        <w:gridCol w:w="3012"/>
      </w:tblGrid>
      <w:tr w:rsidR="00BD04A4" w:rsidRPr="00BD04A4" w:rsidTr="00BD04A4">
        <w:trPr>
          <w:trHeight w:val="990"/>
        </w:trPr>
        <w:tc>
          <w:tcPr>
            <w:tcW w:w="14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Мониторинг выполнения муниципального задания муниципальным бюджетным учреждением культуры «Емельяновский районный Дом культуры</w:t>
            </w:r>
            <w:proofErr w:type="gramStart"/>
            <w:r w:rsidRPr="00BD04A4">
              <w:rPr>
                <w:color w:val="000000"/>
                <w:sz w:val="22"/>
                <w:szCs w:val="22"/>
              </w:rPr>
              <w:t>»з</w:t>
            </w:r>
            <w:proofErr w:type="gramEnd"/>
            <w:r w:rsidRPr="00BD04A4">
              <w:rPr>
                <w:color w:val="000000"/>
                <w:sz w:val="22"/>
                <w:szCs w:val="22"/>
              </w:rPr>
              <w:t>а 2023 г. по состоянию на 01 июля 2023 г.</w:t>
            </w:r>
            <w:r w:rsidRPr="00BD04A4">
              <w:rPr>
                <w:color w:val="000000"/>
                <w:sz w:val="22"/>
                <w:szCs w:val="22"/>
              </w:rPr>
              <w:br/>
              <w:t>по муниципальным услугам</w:t>
            </w:r>
          </w:p>
        </w:tc>
      </w:tr>
      <w:tr w:rsidR="00BD04A4" w:rsidRPr="00BD04A4" w:rsidTr="00BD04A4">
        <w:trPr>
          <w:trHeight w:val="300"/>
        </w:trPr>
        <w:tc>
          <w:tcPr>
            <w:tcW w:w="14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BD04A4" w:rsidRPr="00BD04A4" w:rsidTr="00BD04A4">
        <w:trPr>
          <w:trHeight w:val="169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(в натуральных показателях), </w:t>
            </w:r>
            <w:proofErr w:type="gramStart"/>
            <w:r w:rsidRPr="00BD04A4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BD04A4">
              <w:rPr>
                <w:color w:val="000000"/>
                <w:sz w:val="22"/>
                <w:szCs w:val="22"/>
              </w:rPr>
              <w:t xml:space="preserve"> муниципальным заданием</w:t>
            </w:r>
          </w:p>
        </w:tc>
      </w:tr>
      <w:tr w:rsidR="00BD04A4" w:rsidRPr="00BD04A4" w:rsidTr="00BD04A4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1. Показ (организация показа) концертных программ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D04A4">
              <w:rPr>
                <w:color w:val="000000"/>
                <w:sz w:val="22"/>
                <w:szCs w:val="22"/>
              </w:rPr>
              <w:t>Заполняемость</w:t>
            </w:r>
            <w:proofErr w:type="spellEnd"/>
            <w:r w:rsidRPr="00BD04A4">
              <w:rPr>
                <w:color w:val="000000"/>
                <w:sz w:val="22"/>
                <w:szCs w:val="22"/>
              </w:rPr>
              <w:t xml:space="preserve"> зала (Процент)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</w:rPr>
            </w:pPr>
            <w:r w:rsidRPr="00BD04A4">
              <w:rPr>
                <w:color w:val="000000"/>
              </w:rPr>
              <w:t>100,00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D04A4" w:rsidRPr="00BD04A4" w:rsidTr="00BD04A4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04A4" w:rsidRPr="00BD04A4" w:rsidTr="00BD04A4">
        <w:trPr>
          <w:trHeight w:val="300"/>
        </w:trPr>
        <w:tc>
          <w:tcPr>
            <w:tcW w:w="14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BD04A4" w:rsidRPr="00BD04A4" w:rsidTr="00BD04A4">
        <w:trPr>
          <w:trHeight w:val="12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 (в натуральных показателях), установленный муниципальным заданием</w:t>
            </w:r>
          </w:p>
        </w:tc>
      </w:tr>
      <w:tr w:rsidR="00BD04A4" w:rsidRPr="00BD04A4" w:rsidTr="00BD04A4">
        <w:trPr>
          <w:trHeight w:val="4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1. Показ (организация показа) концертных программ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Число зрителей (Человек)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</w:rPr>
            </w:pPr>
            <w:r w:rsidRPr="00BD04A4">
              <w:rPr>
                <w:color w:val="000000"/>
              </w:rPr>
              <w:t>3250,00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1517,00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46,68</w:t>
            </w:r>
          </w:p>
        </w:tc>
      </w:tr>
      <w:tr w:rsidR="00BD04A4" w:rsidRPr="00BD04A4" w:rsidTr="00BD04A4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4A4" w:rsidRPr="00BD04A4" w:rsidRDefault="00BD04A4" w:rsidP="00BD04A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04A4" w:rsidRPr="00BD04A4" w:rsidTr="00BD04A4">
        <w:trPr>
          <w:trHeight w:val="330"/>
        </w:trPr>
        <w:tc>
          <w:tcPr>
            <w:tcW w:w="14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lastRenderedPageBreak/>
              <w:t>по муниципальным работам</w:t>
            </w:r>
          </w:p>
        </w:tc>
      </w:tr>
      <w:tr w:rsidR="00BD04A4" w:rsidRPr="00BD04A4" w:rsidTr="00BD04A4">
        <w:trPr>
          <w:trHeight w:val="330"/>
        </w:trPr>
        <w:tc>
          <w:tcPr>
            <w:tcW w:w="14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lastRenderedPageBreak/>
              <w:t>по показателям, характеризующим качество выполняемой работы</w:t>
            </w:r>
          </w:p>
        </w:tc>
      </w:tr>
      <w:tr w:rsidR="00BD04A4" w:rsidRPr="00BD04A4" w:rsidTr="00BD04A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</w:p>
        </w:tc>
      </w:tr>
      <w:tr w:rsidR="00BD04A4" w:rsidRPr="00BD04A4" w:rsidTr="00BD04A4">
        <w:trPr>
          <w:trHeight w:val="101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Наименование показателя, характеризующего качество выполняемой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выполняемой работы, в отчетном финансовом году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выполняемой работы (в натуральных показателях), в отчетном финансовом году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выполняемой работы (в натуральных показателях), </w:t>
            </w:r>
            <w:proofErr w:type="gramStart"/>
            <w:r w:rsidRPr="00BD04A4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BD04A4">
              <w:rPr>
                <w:color w:val="000000"/>
                <w:sz w:val="22"/>
                <w:szCs w:val="22"/>
              </w:rPr>
              <w:t xml:space="preserve"> муниципальным заданием</w:t>
            </w:r>
          </w:p>
        </w:tc>
      </w:tr>
      <w:tr w:rsidR="00BD04A4" w:rsidRPr="00BD04A4" w:rsidTr="00BD04A4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Доля потребителей, удовлетворенных качеством (Процент)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</w:rPr>
            </w:pPr>
            <w:r w:rsidRPr="00BD04A4">
              <w:rPr>
                <w:color w:val="000000"/>
              </w:rPr>
              <w:t>100,00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D04A4" w:rsidRPr="00BD04A4" w:rsidTr="00BD04A4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2. Организация и проведение культурно-массовых мероприятий (культурно-массовых (иные зрелищные мероприятия))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Отсутствие обоснованных претензий учредителя к организации предоставления работы (Процент)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</w:rPr>
            </w:pPr>
            <w:r w:rsidRPr="00BD04A4">
              <w:rPr>
                <w:color w:val="000000"/>
              </w:rPr>
              <w:t>100,00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D04A4" w:rsidRPr="00BD04A4" w:rsidTr="00BD04A4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3. Организация и проведение культурно-массовых мероприятий (творческих (фестиваль, выставка, конкурс, смотр))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Отсутствие обоснованных претензий учредителя к организации предоставления работы (Процент)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</w:rPr>
            </w:pPr>
            <w:r w:rsidRPr="00BD04A4">
              <w:rPr>
                <w:color w:val="000000"/>
              </w:rPr>
              <w:t>100,00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D04A4" w:rsidRPr="00BD04A4" w:rsidTr="00BD04A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04A4" w:rsidRPr="00BD04A4" w:rsidTr="00BD04A4">
        <w:trPr>
          <w:trHeight w:val="300"/>
        </w:trPr>
        <w:tc>
          <w:tcPr>
            <w:tcW w:w="14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BD04A4" w:rsidRPr="00BD04A4" w:rsidTr="00BD04A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</w:p>
        </w:tc>
      </w:tr>
      <w:tr w:rsidR="00BD04A4" w:rsidRPr="00BD04A4" w:rsidTr="00BD04A4">
        <w:trPr>
          <w:trHeight w:val="131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</w:t>
            </w:r>
          </w:p>
        </w:tc>
      </w:tr>
      <w:tr w:rsidR="00BD04A4" w:rsidRPr="00BD04A4" w:rsidTr="00BD04A4">
        <w:trPr>
          <w:trHeight w:val="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Количество клубных формирований (Единица)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</w:rPr>
            </w:pPr>
            <w:r w:rsidRPr="00BD04A4">
              <w:rPr>
                <w:color w:val="000000"/>
              </w:rPr>
              <w:t>386,00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386,00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D04A4" w:rsidRPr="00BD04A4" w:rsidTr="00BD04A4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2. Организация и проведение культурно-массовых мероприятий (культурно-массовых (иные зрелищные мероприятия))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Количество проведенных мероприятий (Единица)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</w:rPr>
            </w:pPr>
            <w:r w:rsidRPr="00BD04A4">
              <w:rPr>
                <w:color w:val="000000"/>
              </w:rPr>
              <w:t>342,00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47,08</w:t>
            </w:r>
          </w:p>
        </w:tc>
      </w:tr>
      <w:tr w:rsidR="00BD04A4" w:rsidRPr="00BD04A4" w:rsidTr="00BD04A4">
        <w:trPr>
          <w:trHeight w:val="3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3. Организация и проведение культурно-массовых мероприятий (творческих (фестиваль, выставка, конкурс, смотр))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Количество проведенных мероприятий (Единица)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</w:rPr>
            </w:pPr>
            <w:r w:rsidRPr="00BD04A4">
              <w:rPr>
                <w:color w:val="000000"/>
              </w:rPr>
              <w:t>9,00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A4" w:rsidRPr="00BD04A4" w:rsidRDefault="00BD04A4" w:rsidP="00BD04A4">
            <w:pPr>
              <w:jc w:val="center"/>
              <w:rPr>
                <w:color w:val="000000"/>
                <w:sz w:val="22"/>
                <w:szCs w:val="22"/>
              </w:rPr>
            </w:pPr>
            <w:r w:rsidRPr="00BD04A4">
              <w:rPr>
                <w:color w:val="000000"/>
                <w:sz w:val="22"/>
                <w:szCs w:val="22"/>
              </w:rPr>
              <w:t>111,11</w:t>
            </w:r>
          </w:p>
        </w:tc>
      </w:tr>
    </w:tbl>
    <w:p w:rsidR="00070B7F" w:rsidRDefault="00070B7F"/>
    <w:sectPr w:rsidR="00070B7F" w:rsidSect="008F5986">
      <w:pgSz w:w="16838" w:h="11906" w:orient="landscape"/>
      <w:pgMar w:top="426" w:right="1418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235" w:rsidRDefault="000B0235" w:rsidP="008F5986">
      <w:r>
        <w:separator/>
      </w:r>
    </w:p>
  </w:endnote>
  <w:endnote w:type="continuationSeparator" w:id="0">
    <w:p w:rsidR="000B0235" w:rsidRDefault="000B0235" w:rsidP="008F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235" w:rsidRDefault="000B0235" w:rsidP="008F5986">
      <w:r>
        <w:separator/>
      </w:r>
    </w:p>
  </w:footnote>
  <w:footnote w:type="continuationSeparator" w:id="0">
    <w:p w:rsidR="000B0235" w:rsidRDefault="000B0235" w:rsidP="008F5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9A"/>
    <w:multiLevelType w:val="hybridMultilevel"/>
    <w:tmpl w:val="95123ED2"/>
    <w:lvl w:ilvl="0" w:tplc="A0B48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A20"/>
    <w:rsid w:val="00070B7F"/>
    <w:rsid w:val="000B0235"/>
    <w:rsid w:val="000F0897"/>
    <w:rsid w:val="000F7EE6"/>
    <w:rsid w:val="00104A20"/>
    <w:rsid w:val="00137A8C"/>
    <w:rsid w:val="002B6B31"/>
    <w:rsid w:val="003A7F0F"/>
    <w:rsid w:val="00715220"/>
    <w:rsid w:val="007F206D"/>
    <w:rsid w:val="00810408"/>
    <w:rsid w:val="008F5986"/>
    <w:rsid w:val="00A05E69"/>
    <w:rsid w:val="00B71564"/>
    <w:rsid w:val="00BD04A4"/>
    <w:rsid w:val="00BE2293"/>
    <w:rsid w:val="00D16EFE"/>
    <w:rsid w:val="00D61609"/>
    <w:rsid w:val="00D7765B"/>
    <w:rsid w:val="00E07E08"/>
    <w:rsid w:val="00F21250"/>
    <w:rsid w:val="00F31405"/>
    <w:rsid w:val="00FE2789"/>
    <w:rsid w:val="00FE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11</cp:revision>
  <dcterms:created xsi:type="dcterms:W3CDTF">2017-07-20T06:05:00Z</dcterms:created>
  <dcterms:modified xsi:type="dcterms:W3CDTF">2023-07-17T04:10:00Z</dcterms:modified>
</cp:coreProperties>
</file>